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Economic Structure and Labor Market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1.1 - Structural indicators of the labor market of people aged 14 or older, with indication of the variation coefficient, according to age groups, sex and color or</w:t>
      </w:r>
    </w:p>
    <w:p w:rsidR="00000000" w:rsidDel="00000000" w:rsidP="00000000" w:rsidRDefault="00000000" w:rsidRPr="00000000" w14:paraId="0000000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race</w:t>
      </w:r>
    </w:p>
    <w:p w:rsidR="00000000" w:rsidDel="00000000" w:rsidP="00000000" w:rsidRDefault="00000000" w:rsidRPr="00000000" w14:paraId="0000000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 FU - Structural indicators of the labor market of people aged 14 or older, with an indication of the variation coefficient, according to the Major Regions and</w:t>
      </w:r>
    </w:p>
    <w:p w:rsidR="00000000" w:rsidDel="00000000" w:rsidP="00000000" w:rsidRDefault="00000000" w:rsidRPr="00000000" w14:paraId="00000007">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Federation Units</w:t>
      </w:r>
    </w:p>
    <w:p w:rsidR="00000000" w:rsidDel="00000000" w:rsidP="00000000" w:rsidRDefault="00000000" w:rsidRPr="00000000" w14:paraId="00000008">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1.2 - Structural indicators of the labor market of people aged 14 or more, with indication of the variation coefficient, according to education level, sex and color or</w:t>
      </w:r>
    </w:p>
    <w:p w:rsidR="00000000" w:rsidDel="00000000" w:rsidP="00000000" w:rsidRDefault="00000000" w:rsidRPr="00000000" w14:paraId="0000000A">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race</w:t>
      </w:r>
    </w:p>
    <w:p w:rsidR="00000000" w:rsidDel="00000000" w:rsidP="00000000" w:rsidRDefault="00000000" w:rsidRPr="00000000" w14:paraId="0000000B">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C">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1.3 income - Indicators of labor income of people aged 14 or more, </w:t>
      </w:r>
    </w:p>
    <w:p w:rsidR="00000000" w:rsidDel="00000000" w:rsidP="00000000" w:rsidRDefault="00000000" w:rsidRPr="00000000" w14:paraId="0000000D">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indication of the coefficient of variation, according to age groups, sex and color or race</w:t>
      </w:r>
    </w:p>
    <w:p w:rsidR="00000000" w:rsidDel="00000000" w:rsidP="00000000" w:rsidRDefault="00000000" w:rsidRPr="00000000" w14:paraId="0000000E">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1.3 income FU- Indicators of labor income of people aged 14 or more, </w:t>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indication of the coefficient of variation, according to the Major Regions and</w:t>
      </w:r>
    </w:p>
    <w:p w:rsidR="00000000" w:rsidDel="00000000" w:rsidP="00000000" w:rsidRDefault="00000000" w:rsidRPr="00000000" w14:paraId="0000001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Federation Units</w:t>
      </w:r>
    </w:p>
    <w:p w:rsidR="00000000" w:rsidDel="00000000" w:rsidP="00000000" w:rsidRDefault="00000000" w:rsidRPr="00000000" w14:paraId="00000012">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1.4 - Employed population aged 14 years and over in the reference week, with</w:t>
      </w:r>
    </w:p>
    <w:p w:rsidR="00000000" w:rsidDel="00000000" w:rsidP="00000000" w:rsidRDefault="00000000" w:rsidRPr="00000000" w14:paraId="0000001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coefficient of variation, total and respective percentage distribution by level of education, according to activity groups and sex</w:t>
      </w:r>
    </w:p>
    <w:p w:rsidR="00000000" w:rsidDel="00000000" w:rsidP="00000000" w:rsidRDefault="00000000" w:rsidRPr="00000000" w14:paraId="0000001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1.5 - Employed population aged 14 years or older in the reference week, total and</w:t>
      </w:r>
    </w:p>
    <w:p w:rsidR="00000000" w:rsidDel="00000000" w:rsidP="00000000" w:rsidRDefault="00000000" w:rsidRPr="00000000" w14:paraId="00000017">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their respective percentage distribution by age groups, with an indication of the coefficient of</w:t>
      </w:r>
    </w:p>
    <w:p w:rsidR="00000000" w:rsidDel="00000000" w:rsidP="00000000" w:rsidRDefault="00000000" w:rsidRPr="00000000" w14:paraId="00000018">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variation, according to activity groups and sex</w:t>
      </w:r>
    </w:p>
    <w:p w:rsidR="00000000" w:rsidDel="00000000" w:rsidP="00000000" w:rsidRDefault="00000000" w:rsidRPr="00000000" w14:paraId="00000019">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A">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1.6 - Persons aged 14 years or over, employed in the reference week, and</w:t>
      </w:r>
    </w:p>
    <w:p w:rsidR="00000000" w:rsidDel="00000000" w:rsidP="00000000" w:rsidRDefault="00000000" w:rsidRPr="00000000" w14:paraId="0000001B">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percentage distribution by position in the occupation, with indication of the variation coefficient, according to activity groups</w:t>
      </w:r>
    </w:p>
    <w:p w:rsidR="00000000" w:rsidDel="00000000" w:rsidP="00000000" w:rsidRDefault="00000000" w:rsidRPr="00000000" w14:paraId="0000001C">
      <w:pPr>
        <w:spacing w:after="0" w:before="0" w:line="360" w:lineRule="auto"/>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1D">
      <w:pPr>
        <w:spacing w:after="0" w:before="0" w:line="360" w:lineRule="auto"/>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1E">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1.6 Income - Average real income from the main job usually received by</w:t>
      </w:r>
    </w:p>
    <w:p w:rsidR="00000000" w:rsidDel="00000000" w:rsidP="00000000" w:rsidRDefault="00000000" w:rsidRPr="00000000" w14:paraId="0000001F">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month for persons aged 14 or older, employed in the reference week, for</w:t>
      </w:r>
    </w:p>
    <w:p w:rsidR="00000000" w:rsidDel="00000000" w:rsidP="00000000" w:rsidRDefault="00000000" w:rsidRPr="00000000" w14:paraId="00000020">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occupation, with an indication of the variation coefficient, according to the groups of</w:t>
      </w:r>
    </w:p>
    <w:p w:rsidR="00000000" w:rsidDel="00000000" w:rsidP="00000000" w:rsidRDefault="00000000" w:rsidRPr="00000000" w14:paraId="0000002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activity</w:t>
      </w:r>
    </w:p>
    <w:p w:rsidR="00000000" w:rsidDel="00000000" w:rsidP="00000000" w:rsidRDefault="00000000" w:rsidRPr="00000000" w14:paraId="00000022">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1.6 Income FU - Average real income from the main job usually received per month by people aged 14 or older, employed in the reference week, by position in the occupation, with indication of the variation coefficient, according to Major Regions and Units of the Federation</w:t>
      </w:r>
    </w:p>
    <w:p w:rsidR="00000000" w:rsidDel="00000000" w:rsidP="00000000" w:rsidRDefault="00000000" w:rsidRPr="00000000" w14:paraId="0000002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1.6 FU - Persons aged 14 years or older, employed in the reference week, and</w:t>
      </w:r>
    </w:p>
    <w:p w:rsidR="00000000" w:rsidDel="00000000" w:rsidP="00000000" w:rsidRDefault="00000000" w:rsidRPr="00000000" w14:paraId="0000002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percentage distribution by position in the occupation, with indication of the variation coefficient, according to Major Regions and Federation Units</w:t>
      </w:r>
    </w:p>
    <w:p w:rsidR="00000000" w:rsidDel="00000000" w:rsidP="00000000" w:rsidRDefault="00000000" w:rsidRPr="00000000" w14:paraId="00000027">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8">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1.7 - Persons aged 14 years or older, employed in the reference week, total and</w:t>
      </w:r>
    </w:p>
    <w:p w:rsidR="00000000" w:rsidDel="00000000" w:rsidP="00000000" w:rsidRDefault="00000000" w:rsidRPr="00000000" w14:paraId="00000029">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respective percentage distribution, by position in the occupation, with indication of the coefficient of variation, according to selected characteristics</w:t>
      </w:r>
    </w:p>
    <w:p w:rsidR="00000000" w:rsidDel="00000000" w:rsidP="00000000" w:rsidRDefault="00000000" w:rsidRPr="00000000" w14:paraId="0000002A">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1.7 Income - Average real income from the main job usually received by month for persons aged 14 or older, employed in the reference week, for position in occupation, with indication of the variation coefficient, according to characteristics selected</w:t>
      </w:r>
    </w:p>
    <w:p w:rsidR="00000000" w:rsidDel="00000000" w:rsidP="00000000" w:rsidRDefault="00000000" w:rsidRPr="00000000" w14:paraId="0000002C">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1.8 FU Income - Average real income from the main job usually received by month by persons aged 14 or older, employed in the reference week, by sex, color or race and age groups, with indication of the variation coefficient, according to Major Regions, Federation Units and Capital Municipalities</w:t>
      </w:r>
    </w:p>
    <w:p w:rsidR="00000000" w:rsidDel="00000000" w:rsidP="00000000" w:rsidRDefault="00000000" w:rsidRPr="00000000" w14:paraId="0000002E">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1.8 FU - Persons aged 14 years or older, employed in the reference week, by</w:t>
      </w:r>
    </w:p>
    <w:p w:rsidR="00000000" w:rsidDel="00000000" w:rsidP="00000000" w:rsidRDefault="00000000" w:rsidRPr="00000000" w14:paraId="00000030">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sex, color or race and age groups, with indication of the variation coefficient, according to</w:t>
      </w:r>
    </w:p>
    <w:p w:rsidR="00000000" w:rsidDel="00000000" w:rsidP="00000000" w:rsidRDefault="00000000" w:rsidRPr="00000000" w14:paraId="0000003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Major Regions, Federation Units and Capital Municipalities</w:t>
      </w:r>
    </w:p>
    <w:p w:rsidR="00000000" w:rsidDel="00000000" w:rsidP="00000000" w:rsidRDefault="00000000" w:rsidRPr="00000000" w14:paraId="00000032">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1.9 - Persons aged 14 or older employed in the reference week, by level instruction, with indication of the coefficient of variation, according to Major Regions, sex and color or race</w:t>
      </w:r>
    </w:p>
    <w:p w:rsidR="00000000" w:rsidDel="00000000" w:rsidP="00000000" w:rsidRDefault="00000000" w:rsidRPr="00000000" w14:paraId="0000003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1.9 Income - Usual real average hourly earnings from the main job of persons aged 14</w:t>
      </w:r>
    </w:p>
    <w:p w:rsidR="00000000" w:rsidDel="00000000" w:rsidP="00000000" w:rsidRDefault="00000000" w:rsidRPr="00000000" w14:paraId="0000003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years of age or older employed in the reference week, by level of education, with</w:t>
      </w:r>
    </w:p>
    <w:p w:rsidR="00000000" w:rsidDel="00000000" w:rsidP="00000000" w:rsidRDefault="00000000" w:rsidRPr="00000000" w14:paraId="00000037">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coefficient of variation, according to Major Regions, sex and color or race</w:t>
      </w:r>
    </w:p>
    <w:p w:rsidR="00000000" w:rsidDel="00000000" w:rsidP="00000000" w:rsidRDefault="00000000" w:rsidRPr="00000000" w14:paraId="00000038">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1.9 FU Income - Usual real average hourly earnings of people's main job 14 years of age and older, employed in the reference week, by level of education, with indication of the coefficient of variation, according to Major Regions and Federation Units</w:t>
      </w:r>
    </w:p>
    <w:p w:rsidR="00000000" w:rsidDel="00000000" w:rsidP="00000000" w:rsidRDefault="00000000" w:rsidRPr="00000000" w14:paraId="0000003A">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B">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1.9 FU - Persons aged 14 or older employed in the week of reference, by level of education, with indication of the variation coefficient, according to the Major Regions and</w:t>
      </w:r>
    </w:p>
    <w:p w:rsidR="00000000" w:rsidDel="00000000" w:rsidP="00000000" w:rsidRDefault="00000000" w:rsidRPr="00000000" w14:paraId="0000003C">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Federation Units</w:t>
      </w:r>
    </w:p>
    <w:p w:rsidR="00000000" w:rsidDel="00000000" w:rsidP="00000000" w:rsidRDefault="00000000" w:rsidRPr="00000000" w14:paraId="0000003D">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E">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1.10 FU Income - Employed population aged 14 years or older with lower income (40%), employed population with the highest income (10%), total and average income, and average income ratio (10/40), with indication of the variation coefficient, according to Major Regions, Federation Units and Municipalities of Capitals</w:t>
      </w:r>
    </w:p>
    <w:p w:rsidR="00000000" w:rsidDel="00000000" w:rsidP="00000000" w:rsidRDefault="00000000" w:rsidRPr="00000000" w14:paraId="0000003F">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0">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1.11 Income  - Values ​​of usual income for all jobs, percentage of income</w:t>
      </w:r>
    </w:p>
    <w:p w:rsidR="00000000" w:rsidDel="00000000" w:rsidP="00000000" w:rsidRDefault="00000000" w:rsidRPr="00000000" w14:paraId="0000004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concentrated, and proportion of people with selected characteristics, with indication of</w:t>
      </w:r>
    </w:p>
    <w:p w:rsidR="00000000" w:rsidDel="00000000" w:rsidP="00000000" w:rsidRDefault="00000000" w:rsidRPr="00000000" w14:paraId="00000042">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variation coefficient, according to the usual income percentage classes of all</w:t>
      </w:r>
    </w:p>
    <w:p w:rsidR="00000000" w:rsidDel="00000000" w:rsidP="00000000" w:rsidRDefault="00000000" w:rsidRPr="00000000" w14:paraId="00000043">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works</w:t>
      </w:r>
    </w:p>
    <w:p w:rsidR="00000000" w:rsidDel="00000000" w:rsidP="00000000" w:rsidRDefault="00000000" w:rsidRPr="00000000" w14:paraId="0000004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1.12 - Participation of workers in management positions by color or race, with</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coefficient of variation, according to large regions and sex</w:t>
      </w:r>
    </w:p>
    <w:p w:rsidR="00000000" w:rsidDel="00000000" w:rsidP="00000000" w:rsidRDefault="00000000" w:rsidRPr="00000000" w14:paraId="00000047">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1.13 FU Income - Average real income from the main occupation usually received per month by persons aged 14 or older, employed in the reference week and in formal and informal occupations, by sex and color or race, with indication of the coefficient of variation, according to Major Regions, Federation Units and Capital Municipalities</w:t>
      </w:r>
    </w:p>
    <w:p w:rsidR="00000000" w:rsidDel="00000000" w:rsidP="00000000" w:rsidRDefault="00000000" w:rsidRPr="00000000" w14:paraId="00000049">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A">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1.13 FU - Persons aged 14 or older employed in the week of reference, total</w:t>
      </w:r>
    </w:p>
    <w:p w:rsidR="00000000" w:rsidDel="00000000" w:rsidP="00000000" w:rsidRDefault="00000000" w:rsidRPr="00000000" w14:paraId="0000004B">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and proportion in formal occupations, by sex and color or race, with indication of the coefficient of variation, according to Major Regions, Federation Units and Capital Municipalities</w:t>
      </w:r>
    </w:p>
    <w:p w:rsidR="00000000" w:rsidDel="00000000" w:rsidP="00000000" w:rsidRDefault="00000000" w:rsidRPr="00000000" w14:paraId="0000004C">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D">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1.14 FU - Unemployment rate of persons aged 14 or older, by sex, color or race and age groups, with indication of the variation coefficient, according to Major Regions, Federation Units and Capital Municipalities</w:t>
      </w:r>
    </w:p>
    <w:p w:rsidR="00000000" w:rsidDel="00000000" w:rsidP="00000000" w:rsidRDefault="00000000" w:rsidRPr="00000000" w14:paraId="0000004E">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F">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1.15 - Persons aged 14 years or older, employed in the reference week and</w:t>
      </w:r>
    </w:p>
    <w:p w:rsidR="00000000" w:rsidDel="00000000" w:rsidP="00000000" w:rsidRDefault="00000000" w:rsidRPr="00000000" w14:paraId="00000050">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percentage distribution in formal and informal jobs, by sex and color or race, with</w:t>
      </w:r>
    </w:p>
    <w:p w:rsidR="00000000" w:rsidDel="00000000" w:rsidP="00000000" w:rsidRDefault="00000000" w:rsidRPr="00000000" w14:paraId="0000005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variation coefficient, according to group of economic activity and level of</w:t>
      </w:r>
    </w:p>
    <w:p w:rsidR="00000000" w:rsidDel="00000000" w:rsidP="00000000" w:rsidRDefault="00000000" w:rsidRPr="00000000" w14:paraId="00000052">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instruction</w:t>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1.15 Income - Average real income from the main job usually received by month by persons aged 14 or older, employed in the reference week, by type bond, sex and color or race, with indication of the coefficient of variation, according to group of economic activity and education level</w:t>
      </w:r>
    </w:p>
    <w:p w:rsidR="00000000" w:rsidDel="00000000" w:rsidP="00000000" w:rsidRDefault="00000000" w:rsidRPr="00000000" w14:paraId="0000005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1.16 - Persons aged 14 and older employed in the reference week as</w:t>
      </w:r>
    </w:p>
    <w:p w:rsidR="00000000" w:rsidDel="00000000" w:rsidP="00000000" w:rsidRDefault="00000000" w:rsidRPr="00000000" w14:paraId="00000057">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self-employed workers and employers, and percentage distribution by contribution</w:t>
      </w:r>
    </w:p>
    <w:p w:rsidR="00000000" w:rsidDel="00000000" w:rsidP="00000000" w:rsidRDefault="00000000" w:rsidRPr="00000000" w14:paraId="00000058">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social security, with indication of the variation coefficient, according to characteristics</w:t>
      </w:r>
    </w:p>
    <w:p w:rsidR="00000000" w:rsidDel="00000000" w:rsidP="00000000" w:rsidRDefault="00000000" w:rsidRPr="00000000" w14:paraId="00000059">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selected</w:t>
      </w:r>
    </w:p>
    <w:p w:rsidR="00000000" w:rsidDel="00000000" w:rsidP="00000000" w:rsidRDefault="00000000" w:rsidRPr="00000000" w14:paraId="0000005A">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B">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1.16 Income - Average real income from the main job usually received by month by persons aged 14 or older employed in the reference week as self-employed workers and employers, for contribution to social security, with indication of the variation coefficient, according to selected characteristics</w:t>
      </w:r>
    </w:p>
    <w:p w:rsidR="00000000" w:rsidDel="00000000" w:rsidP="00000000" w:rsidRDefault="00000000" w:rsidRPr="00000000" w14:paraId="0000005C">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D">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1.17 - Persons 14 years of age or older employed in the reference week, by sex and color or race, with indication of the coefficient of variation, according to position in occupation and formal or informal work</w:t>
      </w:r>
    </w:p>
    <w:p w:rsidR="00000000" w:rsidDel="00000000" w:rsidP="00000000" w:rsidRDefault="00000000" w:rsidRPr="00000000" w14:paraId="0000005E">
      <w:pPr>
        <w:spacing w:after="0" w:before="0" w:line="308.5714285714286" w:lineRule="auto"/>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F">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1.18 - Percentage distribution of persons aged 14 or older, employed in the reference week, by groups of hours usually worked, with indication of the variation coefficient, according to selected characteristics</w:t>
      </w:r>
    </w:p>
    <w:p w:rsidR="00000000" w:rsidDel="00000000" w:rsidP="00000000" w:rsidRDefault="00000000" w:rsidRPr="00000000" w14:paraId="00000060">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1.18 FU - Percentage distribution of employed persons aged 14 years or older in the reference week, by groups of hours usually worked, with indication of the variation coefficient, according to Major Regions and Federation Units</w:t>
      </w:r>
    </w:p>
    <w:p w:rsidR="00000000" w:rsidDel="00000000" w:rsidP="00000000" w:rsidRDefault="00000000" w:rsidRPr="00000000" w14:paraId="00000062">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3">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1.19 - Percentage distribution of the employed population and the under-employed population by insufficient hours according to selected characteristics</w:t>
      </w:r>
    </w:p>
    <w:p w:rsidR="00000000" w:rsidDel="00000000" w:rsidP="00000000" w:rsidRDefault="00000000" w:rsidRPr="00000000" w14:paraId="0000006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1.20 - Percentage distribution of the employed population and the under-employed population by insufficient hours according to groups of activities</w:t>
      </w:r>
    </w:p>
    <w:p w:rsidR="00000000" w:rsidDel="00000000" w:rsidP="00000000" w:rsidRDefault="00000000" w:rsidRPr="00000000" w14:paraId="0000006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7">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1.21 - People in the potential workforce, by sex, color or race and age groups, with indication of the variation coefficient, according to job search in the reference month</w:t>
      </w:r>
    </w:p>
    <w:p w:rsidR="00000000" w:rsidDel="00000000" w:rsidP="00000000" w:rsidRDefault="00000000" w:rsidRPr="00000000" w14:paraId="00000068">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and main reason for not taking action to get work</w:t>
      </w:r>
    </w:p>
    <w:p w:rsidR="00000000" w:rsidDel="00000000" w:rsidP="00000000" w:rsidRDefault="00000000" w:rsidRPr="00000000" w14:paraId="00000069">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A">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1.22 - Percentage distribution of the unemployed population by time without work and</w:t>
      </w:r>
    </w:p>
    <w:p w:rsidR="00000000" w:rsidDel="00000000" w:rsidP="00000000" w:rsidRDefault="00000000" w:rsidRPr="00000000" w14:paraId="0000006B">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looking for work, with indication of the variation coefficient, according to characteristics</w:t>
      </w:r>
    </w:p>
    <w:p w:rsidR="00000000" w:rsidDel="00000000" w:rsidP="00000000" w:rsidRDefault="00000000" w:rsidRPr="00000000" w14:paraId="0000006C">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selected</w:t>
      </w:r>
    </w:p>
    <w:p w:rsidR="00000000" w:rsidDel="00000000" w:rsidP="00000000" w:rsidRDefault="00000000" w:rsidRPr="00000000" w14:paraId="0000006D">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E">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1.22 FU - Percentage distribution of the unemployed population by time without work and looking for work, with indication of the variation coefficient, according to Major Regions and Federation Units</w:t>
      </w:r>
    </w:p>
    <w:p w:rsidR="00000000" w:rsidDel="00000000" w:rsidP="00000000" w:rsidRDefault="00000000" w:rsidRPr="00000000" w14:paraId="0000006F">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0">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1.23 - Compound rate of underutilization of the workforce of persons aged 14 or older, with indication of the variation coefficient, according to selected characteristics</w:t>
      </w:r>
    </w:p>
    <w:p w:rsidR="00000000" w:rsidDel="00000000" w:rsidP="00000000" w:rsidRDefault="00000000" w:rsidRPr="00000000" w14:paraId="0000007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2">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1.24 FU - Underutilization rate composed of the workforce, by sex, groups of</w:t>
      </w:r>
    </w:p>
    <w:p w:rsidR="00000000" w:rsidDel="00000000" w:rsidP="00000000" w:rsidRDefault="00000000" w:rsidRPr="00000000" w14:paraId="00000073">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age and color or race, with indication of the coefficient of variation, according to Major Regions, Federation Units and Capital Cities</w:t>
      </w:r>
    </w:p>
    <w:p w:rsidR="00000000" w:rsidDel="00000000" w:rsidP="00000000" w:rsidRDefault="00000000" w:rsidRPr="00000000" w14:paraId="00000074">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5">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6">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7">
      <w:pPr>
        <w:spacing w:after="0" w:before="0" w:line="360" w:lineRule="auto"/>
        <w:jc w:val="center"/>
        <w:rPr>
          <w:rFonts w:ascii="Times New Roman" w:cs="Times New Roman" w:eastAsia="Times New Roman" w:hAnsi="Times New Roman"/>
          <w:b w:val="1"/>
          <w:color w:val="202124"/>
          <w:sz w:val="28"/>
          <w:szCs w:val="28"/>
          <w:highlight w:val="white"/>
          <w:u w:val="single"/>
        </w:rPr>
      </w:pPr>
      <w:r w:rsidDel="00000000" w:rsidR="00000000" w:rsidRPr="00000000">
        <w:rPr>
          <w:rFonts w:ascii="Times New Roman" w:cs="Times New Roman" w:eastAsia="Times New Roman" w:hAnsi="Times New Roman"/>
          <w:b w:val="1"/>
          <w:color w:val="202124"/>
          <w:sz w:val="28"/>
          <w:szCs w:val="28"/>
          <w:highlight w:val="white"/>
          <w:u w:val="single"/>
          <w:rtl w:val="0"/>
        </w:rPr>
        <w:t xml:space="preserve">Life Standard and income distribution</w:t>
      </w:r>
    </w:p>
    <w:p w:rsidR="00000000" w:rsidDel="00000000" w:rsidP="00000000" w:rsidRDefault="00000000" w:rsidRPr="00000000" w14:paraId="00000078">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9">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A">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 FU- Average and median household income per capita, with indication of</w:t>
      </w:r>
    </w:p>
    <w:p w:rsidR="00000000" w:rsidDel="00000000" w:rsidP="00000000" w:rsidRDefault="00000000" w:rsidRPr="00000000" w14:paraId="0000007B">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variation coefficient, according to the Major Regions, the Federation Units and the</w:t>
      </w:r>
    </w:p>
    <w:p w:rsidR="00000000" w:rsidDel="00000000" w:rsidP="00000000" w:rsidRDefault="00000000" w:rsidRPr="00000000" w14:paraId="0000007C">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Capital Cities</w:t>
      </w:r>
    </w:p>
    <w:p w:rsidR="00000000" w:rsidDel="00000000" w:rsidP="00000000" w:rsidRDefault="00000000" w:rsidRPr="00000000" w14:paraId="0000007D">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E">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 FU - Total and percentage distribution of people, by class of per capita household income, with indication of the variation coefficient, according to Major Regions and Federation Units</w:t>
      </w:r>
    </w:p>
    <w:p w:rsidR="00000000" w:rsidDel="00000000" w:rsidP="00000000" w:rsidRDefault="00000000" w:rsidRPr="00000000" w14:paraId="0000007F">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0">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2.3 FU - Percentage distribution of total income from household arrangements, by classes of household income per capita and source of income, with indication of variation coefficient, according to Major Regions and Federation Units</w:t>
      </w:r>
    </w:p>
    <w:p w:rsidR="00000000" w:rsidDel="00000000" w:rsidP="00000000" w:rsidRDefault="00000000" w:rsidRPr="00000000" w14:paraId="00000081">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2">
      <w:pPr>
        <w:spacing w:after="0" w:before="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2.4 FU - Percentage distribution of total household income per capit</w:t>
      </w:r>
      <w:r w:rsidDel="00000000" w:rsidR="00000000" w:rsidRPr="00000000">
        <w:rPr>
          <w:rFonts w:ascii="Times New Roman" w:cs="Times New Roman" w:eastAsia="Times New Roman" w:hAnsi="Times New Roman"/>
          <w:color w:val="202124"/>
          <w:sz w:val="24"/>
          <w:szCs w:val="24"/>
          <w:highlight w:val="yellow"/>
          <w:rtl w:val="0"/>
        </w:rPr>
        <w:t xml:space="preserve">a</w:t>
      </w:r>
      <w:r w:rsidDel="00000000" w:rsidR="00000000" w:rsidRPr="00000000">
        <w:rPr>
          <w:rFonts w:ascii="Times New Roman" w:cs="Times New Roman" w:eastAsia="Times New Roman" w:hAnsi="Times New Roman"/>
          <w:color w:val="202124"/>
          <w:sz w:val="24"/>
          <w:szCs w:val="24"/>
          <w:highlight w:val="white"/>
          <w:rtl w:val="0"/>
        </w:rPr>
        <w:t xml:space="preserve">, by classes of percentage of households in ascending order of income, with indication of the variation coefficient, according to the Major Regions, the Federation Units and Capital Cities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2.5 - Values ​​of household income per capita, percentage of concentrated income, and</w:t>
      </w:r>
    </w:p>
    <w:p w:rsidR="00000000" w:rsidDel="00000000" w:rsidP="00000000" w:rsidRDefault="00000000" w:rsidRPr="00000000" w14:paraId="00000086">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proportion of people with selected characteristics, with indication of the coefficient of</w:t>
      </w:r>
    </w:p>
    <w:p w:rsidR="00000000" w:rsidDel="00000000" w:rsidP="00000000" w:rsidRDefault="00000000" w:rsidRPr="00000000" w14:paraId="00000087">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variation, according to the percentage classes of per capita household income</w:t>
      </w:r>
    </w:p>
    <w:p w:rsidR="00000000" w:rsidDel="00000000" w:rsidP="00000000" w:rsidRDefault="00000000" w:rsidRPr="00000000" w14:paraId="00000088">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2.6 - Values ​​of household income per capita, percentage of concentrated income, and proportion of people with selected characteristics, with indication of the coefficient of variation, according to the percentage classes of per capita household income</w:t>
      </w:r>
    </w:p>
    <w:p w:rsidR="00000000" w:rsidDel="00000000" w:rsidP="00000000" w:rsidRDefault="00000000" w:rsidRPr="00000000" w14:paraId="0000008A">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2.7 FU - Average and median household income per capita, by sex and color or race,</w:t>
      </w:r>
    </w:p>
    <w:p w:rsidR="00000000" w:rsidDel="00000000" w:rsidP="00000000" w:rsidRDefault="00000000" w:rsidRPr="00000000" w14:paraId="0000008C">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indication of the variation coefficients, according to the Major Regions and Units of the</w:t>
      </w:r>
    </w:p>
    <w:p w:rsidR="00000000" w:rsidDel="00000000" w:rsidP="00000000" w:rsidRDefault="00000000" w:rsidRPr="00000000" w14:paraId="0000008D">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Federation</w:t>
      </w:r>
    </w:p>
    <w:p w:rsidR="00000000" w:rsidDel="00000000" w:rsidP="00000000" w:rsidRDefault="00000000" w:rsidRPr="00000000" w14:paraId="0000008E">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2.8 - Percentage distribution of the population, by color or race, in Brazil and Major</w:t>
      </w:r>
    </w:p>
    <w:p w:rsidR="00000000" w:rsidDel="00000000" w:rsidP="00000000" w:rsidRDefault="00000000" w:rsidRPr="00000000" w14:paraId="00000090">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Regions, with indication of the variation coefficient, according to the percentage classes of</w:t>
      </w:r>
    </w:p>
    <w:p w:rsidR="00000000" w:rsidDel="00000000" w:rsidP="00000000" w:rsidRDefault="00000000" w:rsidRPr="00000000" w14:paraId="00000091">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people in increasing order of household income per capita</w:t>
      </w:r>
    </w:p>
    <w:p w:rsidR="00000000" w:rsidDel="00000000" w:rsidP="00000000" w:rsidRDefault="00000000" w:rsidRPr="00000000" w14:paraId="00000092">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3">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2.9 FU - Percentage distribution of the population, by classes of percentage of people in increasing order of household income per capita and color or race, with indication of variation coefficient, according to Major Regions and Federation Units</w:t>
      </w:r>
    </w:p>
    <w:p w:rsidR="00000000" w:rsidDel="00000000" w:rsidP="00000000" w:rsidRDefault="00000000" w:rsidRPr="00000000" w14:paraId="00000094">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2.10 - Average and median per capita household income, by sex and color or race, with</w:t>
      </w:r>
    </w:p>
    <w:p w:rsidR="00000000" w:rsidDel="00000000" w:rsidP="00000000" w:rsidRDefault="00000000" w:rsidRPr="00000000" w14:paraId="00000096">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coefficients of variation, according to the level of education</w:t>
      </w:r>
    </w:p>
    <w:p w:rsidR="00000000" w:rsidDel="00000000" w:rsidP="00000000" w:rsidRDefault="00000000" w:rsidRPr="00000000" w14:paraId="00000097">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2.11 FU - Gini index of the distribution of household income per capita, according to</w:t>
      </w:r>
    </w:p>
    <w:p w:rsidR="00000000" w:rsidDel="00000000" w:rsidP="00000000" w:rsidRDefault="00000000" w:rsidRPr="00000000" w14:paraId="00000099">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Major Regions, Federation Units and Capital Cities</w:t>
      </w:r>
    </w:p>
    <w:p w:rsidR="00000000" w:rsidDel="00000000" w:rsidP="00000000" w:rsidRDefault="00000000" w:rsidRPr="00000000" w14:paraId="0000009A">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2.12 FU - Distribution of household income per capita, by classes of percentage of</w:t>
      </w:r>
    </w:p>
    <w:p w:rsidR="00000000" w:rsidDel="00000000" w:rsidP="00000000" w:rsidRDefault="00000000" w:rsidRPr="00000000" w14:paraId="0000009C">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people in ascending order of income, and Palma Index, indicating the coefficient</w:t>
      </w:r>
    </w:p>
    <w:p w:rsidR="00000000" w:rsidDel="00000000" w:rsidP="00000000" w:rsidRDefault="00000000" w:rsidRPr="00000000" w14:paraId="0000009D">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of variation, according to the Major Regions, the Federation Units and the Capitals Cities</w:t>
      </w:r>
    </w:p>
    <w:p w:rsidR="00000000" w:rsidDel="00000000" w:rsidP="00000000" w:rsidRDefault="00000000" w:rsidRPr="00000000" w14:paraId="0000009E">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2.13 FU - Average household income per capita of the </w:t>
      </w:r>
      <w:r w:rsidDel="00000000" w:rsidR="00000000" w:rsidRPr="00000000">
        <w:rPr>
          <w:rFonts w:ascii="Times New Roman" w:cs="Times New Roman" w:eastAsia="Times New Roman" w:hAnsi="Times New Roman"/>
          <w:color w:val="202124"/>
          <w:sz w:val="24"/>
          <w:szCs w:val="24"/>
          <w:highlight w:val="white"/>
          <w:u w:val="single"/>
          <w:rtl w:val="0"/>
        </w:rPr>
        <w:t xml:space="preserve">population,</w:t>
      </w:r>
      <w:r w:rsidDel="00000000" w:rsidR="00000000" w:rsidRPr="00000000">
        <w:rPr>
          <w:rFonts w:ascii="Times New Roman" w:cs="Times New Roman" w:eastAsia="Times New Roman" w:hAnsi="Times New Roman"/>
          <w:color w:val="202124"/>
          <w:sz w:val="24"/>
          <w:szCs w:val="24"/>
          <w:highlight w:val="white"/>
          <w:rtl w:val="0"/>
        </w:rPr>
        <w:t xml:space="preserve"> by class of percentage of households in ascending order of income, with indication of the coefficient of variation, according to the Major Regions, the Federation Units and the Capital Cities</w:t>
      </w:r>
    </w:p>
    <w:p w:rsidR="00000000" w:rsidDel="00000000" w:rsidP="00000000" w:rsidRDefault="00000000" w:rsidRPr="00000000" w14:paraId="000000A0">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2.14 - Proportion of people by classes of per capita household income, with</w:t>
      </w:r>
    </w:p>
    <w:p w:rsidR="00000000" w:rsidDel="00000000" w:rsidP="00000000" w:rsidRDefault="00000000" w:rsidRPr="00000000" w14:paraId="000000A2">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variation coefficient, according to selected characteristics of households and</w:t>
      </w:r>
    </w:p>
    <w:p w:rsidR="00000000" w:rsidDel="00000000" w:rsidP="00000000" w:rsidRDefault="00000000" w:rsidRPr="00000000" w14:paraId="000000A3">
      <w:pPr>
        <w:spacing w:after="0" w:before="0" w:line="308.5714285714286"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people</w:t>
      </w:r>
    </w:p>
    <w:p w:rsidR="00000000" w:rsidDel="00000000" w:rsidP="00000000" w:rsidRDefault="00000000" w:rsidRPr="00000000" w14:paraId="000000A4">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2.14 FU - Total and proportion of individuals, by classes of household income per capita selected, according to the Major Regions and Federation Units</w:t>
      </w:r>
    </w:p>
    <w:p w:rsidR="00000000" w:rsidDel="00000000" w:rsidP="00000000" w:rsidRDefault="00000000" w:rsidRPr="00000000" w14:paraId="000000A6">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2.14a - Proportion of people by per capita household income class, with indication of the variation coefficient, according to selected characteristics of households and people</w:t>
      </w:r>
    </w:p>
    <w:p w:rsidR="00000000" w:rsidDel="00000000" w:rsidP="00000000" w:rsidRDefault="00000000" w:rsidRPr="00000000" w14:paraId="000000A8">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2.14a FU - Total and proportion of persons, by selected  classes of household income per capita, according to Major Regions and Federation Units</w:t>
      </w:r>
    </w:p>
    <w:p w:rsidR="00000000" w:rsidDel="00000000" w:rsidP="00000000" w:rsidRDefault="00000000" w:rsidRPr="00000000" w14:paraId="000000AA">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2.15 FU - Proportion of people, by classes of household income per capita, with</w:t>
      </w:r>
    </w:p>
    <w:p w:rsidR="00000000" w:rsidDel="00000000" w:rsidP="00000000" w:rsidRDefault="00000000" w:rsidRPr="00000000" w14:paraId="000000AC">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variation coefficient, according to the Major Regions, the Federation Units and</w:t>
      </w:r>
    </w:p>
    <w:p w:rsidR="00000000" w:rsidDel="00000000" w:rsidP="00000000" w:rsidRDefault="00000000" w:rsidRPr="00000000" w14:paraId="000000AD">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Capital Cities</w:t>
      </w:r>
    </w:p>
    <w:p w:rsidR="00000000" w:rsidDel="00000000" w:rsidP="00000000" w:rsidRDefault="00000000" w:rsidRPr="00000000" w14:paraId="000000AE">
      <w:pPr>
        <w:spacing w:line="36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AF">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2.16 - Proportion of people, by classes of household income per capita, with indication of the coefficient of variation, according to the presence of some durable goods in the household, characteristics of the household and access to technology</w:t>
      </w:r>
    </w:p>
    <w:p w:rsidR="00000000" w:rsidDel="00000000" w:rsidP="00000000" w:rsidRDefault="00000000" w:rsidRPr="00000000" w14:paraId="000000B0">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1">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2.16a - Proportion of people, by classes of per capita household income, with</w:t>
      </w:r>
    </w:p>
    <w:p w:rsidR="00000000" w:rsidDel="00000000" w:rsidP="00000000" w:rsidRDefault="00000000" w:rsidRPr="00000000" w14:paraId="000000B2">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variation coefficient, according to the presence of some durable goods in the</w:t>
      </w:r>
    </w:p>
    <w:p w:rsidR="00000000" w:rsidDel="00000000" w:rsidP="00000000" w:rsidRDefault="00000000" w:rsidRPr="00000000" w14:paraId="000000B3">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household, household characteristics and access to technology</w:t>
      </w:r>
    </w:p>
    <w:p w:rsidR="00000000" w:rsidDel="00000000" w:rsidP="00000000" w:rsidRDefault="00000000" w:rsidRPr="00000000" w14:paraId="000000B4">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5">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2.16b - Proportion of people, by classes of per capita household income, with</w:t>
      </w:r>
    </w:p>
    <w:p w:rsidR="00000000" w:rsidDel="00000000" w:rsidP="00000000" w:rsidRDefault="00000000" w:rsidRPr="00000000" w14:paraId="000000B6">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variation coefficient, according to the presence of some durable goods in the</w:t>
      </w:r>
    </w:p>
    <w:p w:rsidR="00000000" w:rsidDel="00000000" w:rsidP="00000000" w:rsidRDefault="00000000" w:rsidRPr="00000000" w14:paraId="000000B7">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household, household characteristics and access to technology</w:t>
      </w:r>
    </w:p>
    <w:p w:rsidR="00000000" w:rsidDel="00000000" w:rsidP="00000000" w:rsidRDefault="00000000" w:rsidRPr="00000000" w14:paraId="000000B8">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9">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2.17 FU - Total and distribution of people, by selected classes of per capita household income, according to Major Regions and Federation Units</w:t>
      </w:r>
    </w:p>
    <w:p w:rsidR="00000000" w:rsidDel="00000000" w:rsidP="00000000" w:rsidRDefault="00000000" w:rsidRPr="00000000" w14:paraId="000000BA">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B">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2.17a FU - Proportion of people, by classes of household income per capita, with</w:t>
      </w:r>
    </w:p>
    <w:p w:rsidR="00000000" w:rsidDel="00000000" w:rsidP="00000000" w:rsidRDefault="00000000" w:rsidRPr="00000000" w14:paraId="000000BC">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variation coefficient, according to the Major Regions, the Federation Units and Capital Cities</w:t>
      </w:r>
    </w:p>
    <w:p w:rsidR="00000000" w:rsidDel="00000000" w:rsidP="00000000" w:rsidRDefault="00000000" w:rsidRPr="00000000" w14:paraId="000000BD">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E">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2.18 - Proportion of people by classes of household income per capita, with</w:t>
      </w:r>
    </w:p>
    <w:p w:rsidR="00000000" w:rsidDel="00000000" w:rsidP="00000000" w:rsidRDefault="00000000" w:rsidRPr="00000000" w14:paraId="000000BF">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coefficient of variation, according to selected characteristics</w:t>
      </w:r>
    </w:p>
    <w:p w:rsidR="00000000" w:rsidDel="00000000" w:rsidP="00000000" w:rsidRDefault="00000000" w:rsidRPr="00000000" w14:paraId="000000C0">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1">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2.18a - Proportion of people by classes of household income per capita, with</w:t>
      </w:r>
    </w:p>
    <w:p w:rsidR="00000000" w:rsidDel="00000000" w:rsidP="00000000" w:rsidRDefault="00000000" w:rsidRPr="00000000" w14:paraId="000000C2">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coefficient of variation, according to selected characteristics</w:t>
      </w:r>
    </w:p>
    <w:p w:rsidR="00000000" w:rsidDel="00000000" w:rsidP="00000000" w:rsidRDefault="00000000" w:rsidRPr="00000000" w14:paraId="000000C3">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4">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2.19 - Proportion of households by classes of per capita household income, with</w:t>
      </w:r>
    </w:p>
    <w:p w:rsidR="00000000" w:rsidDel="00000000" w:rsidP="00000000" w:rsidRDefault="00000000" w:rsidRPr="00000000" w14:paraId="000000C5">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indication of the coefficient of variation, according to selected characteristics</w:t>
      </w:r>
    </w:p>
    <w:p w:rsidR="00000000" w:rsidDel="00000000" w:rsidP="00000000" w:rsidRDefault="00000000" w:rsidRPr="00000000" w14:paraId="000000C6">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7">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2.20 - Proportion of people living in households with inadequate living conditions, with an indication of the variation coefficient, according to some characteristics</w:t>
      </w:r>
    </w:p>
    <w:p w:rsidR="00000000" w:rsidDel="00000000" w:rsidP="00000000" w:rsidRDefault="00000000" w:rsidRPr="00000000" w14:paraId="000000C8">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9">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2.21 FU - Proportion of people living in households with occurrence of inadequacies in housing conditions, with indication of the variation coefficient, according to Major Regions, Federation Units and Capital Cities</w:t>
      </w:r>
    </w:p>
    <w:p w:rsidR="00000000" w:rsidDel="00000000" w:rsidP="00000000" w:rsidRDefault="00000000" w:rsidRPr="00000000" w14:paraId="000000CA">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B">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C">
      <w:pPr>
        <w:spacing w:after="0" w:before="0" w:line="308.5714285714286"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CD">
      <w:pPr>
        <w:spacing w:after="0" w:before="0" w:line="308.571428571428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Table 2.22 - Proportion of people living in households without access to health services basic sanitation, with indication of the variation coefficient, according to some characteristics</w:t>
      </w:r>
    </w:p>
    <w:p w:rsidR="00000000" w:rsidDel="00000000" w:rsidP="00000000" w:rsidRDefault="00000000" w:rsidRPr="00000000" w14:paraId="000000CE">
      <w:pPr>
        <w:spacing w:after="0" w:before="0" w:line="308.5714285714286"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CF">
      <w:pPr>
        <w:spacing w:after="0" w:before="0" w:line="308.571428571428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Table 2.22 FU - Proportion of people living in households without access to health services basic sanitation, with indication of the variation coefficient, according to Major Regions, Federation Units and Capital Cities </w:t>
      </w:r>
    </w:p>
    <w:p w:rsidR="00000000" w:rsidDel="00000000" w:rsidP="00000000" w:rsidRDefault="00000000" w:rsidRPr="00000000" w14:paraId="000000D0">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1">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2">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2.23 - Proportion of people living in restricted households, by type and restriction quantity, with indication of the variation coefficient, according to characteristics selected households and people</w:t>
      </w:r>
    </w:p>
    <w:p w:rsidR="00000000" w:rsidDel="00000000" w:rsidP="00000000" w:rsidRDefault="00000000" w:rsidRPr="00000000" w14:paraId="000000D3">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4">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2.23 FU - Proportion of people living in restricted households, by type and</w:t>
      </w:r>
    </w:p>
    <w:p w:rsidR="00000000" w:rsidDel="00000000" w:rsidP="00000000" w:rsidRDefault="00000000" w:rsidRPr="00000000" w14:paraId="000000D5">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amount of restriction, with indication of the coefficient of variation, according to Major Regions, Federation Units and Capital Cities</w:t>
      </w:r>
    </w:p>
    <w:p w:rsidR="00000000" w:rsidDel="00000000" w:rsidP="00000000" w:rsidRDefault="00000000" w:rsidRPr="00000000" w14:paraId="000000D6">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7">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2.24 FU - Proportion of people living in restricted households, by type and amount of restriction, per selected household income class, with indication of the variation coefficient, according to Major Regions, Federation Units and Capital Cities</w:t>
      </w:r>
    </w:p>
    <w:p w:rsidR="00000000" w:rsidDel="00000000" w:rsidP="00000000" w:rsidRDefault="00000000" w:rsidRPr="00000000" w14:paraId="000000D8">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9">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2.25 - Other measures of poverty, according to selected characteristics</w:t>
      </w:r>
    </w:p>
    <w:p w:rsidR="00000000" w:rsidDel="00000000" w:rsidP="00000000" w:rsidRDefault="00000000" w:rsidRPr="00000000" w14:paraId="000000DA">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B">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2.25a - Other measures of poverty, according to selected characteristics</w:t>
      </w:r>
    </w:p>
    <w:p w:rsidR="00000000" w:rsidDel="00000000" w:rsidP="00000000" w:rsidRDefault="00000000" w:rsidRPr="00000000" w14:paraId="000000DC">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D">
      <w:pPr>
        <w:spacing w:after="0" w:before="0" w:line="308.571428571428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2.25b - Other measures of poverty, according to selected characteristics</w:t>
      </w:r>
    </w:p>
    <w:p w:rsidR="00000000" w:rsidDel="00000000" w:rsidP="00000000" w:rsidRDefault="00000000" w:rsidRPr="00000000" w14:paraId="000000DE">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F">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2.26 UF - Other measures of poverty, by Major Region, Units of the Capital Cities Federation</w:t>
      </w:r>
    </w:p>
    <w:p w:rsidR="00000000" w:rsidDel="00000000" w:rsidP="00000000" w:rsidRDefault="00000000" w:rsidRPr="00000000" w14:paraId="000000E0">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1">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2.26a UF - Other measures of poverty, by Major Region, Units of the Capital Cities Federation</w:t>
      </w:r>
    </w:p>
    <w:p w:rsidR="00000000" w:rsidDel="00000000" w:rsidP="00000000" w:rsidRDefault="00000000" w:rsidRPr="00000000" w14:paraId="000000E2">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3">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2.26b UF - Other measures of poverty, by Major Region, Units of the Capital Cities Federation</w:t>
      </w:r>
    </w:p>
    <w:p w:rsidR="00000000" w:rsidDel="00000000" w:rsidP="00000000" w:rsidRDefault="00000000" w:rsidRPr="00000000" w14:paraId="000000E4">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5">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2.27 - Proportion of people living in restricted households, by Major Regions, with indication of the variation coefficient according to type of restriction and classes of percentage in increasing order of per capita household income</w:t>
      </w:r>
    </w:p>
    <w:p w:rsidR="00000000" w:rsidDel="00000000" w:rsidP="00000000" w:rsidRDefault="00000000" w:rsidRPr="00000000" w14:paraId="000000E6">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7">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2.27a - Proportion of people living in restricted households, by Major Regions, with indication of the variation coefficient according to type of restriction and classes of percentage in increasing order of per capita household income</w:t>
      </w:r>
    </w:p>
    <w:p w:rsidR="00000000" w:rsidDel="00000000" w:rsidP="00000000" w:rsidRDefault="00000000" w:rsidRPr="00000000" w14:paraId="000000E8">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9">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2.28 - Distribution of people living in households by access to the general network of</w:t>
      </w:r>
    </w:p>
    <w:p w:rsidR="00000000" w:rsidDel="00000000" w:rsidP="00000000" w:rsidRDefault="00000000" w:rsidRPr="00000000" w14:paraId="000000EA">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water distribution and frequency of supply through the general water supply network,</w:t>
      </w:r>
    </w:p>
    <w:p w:rsidR="00000000" w:rsidDel="00000000" w:rsidP="00000000" w:rsidRDefault="00000000" w:rsidRPr="00000000" w14:paraId="000000EB">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indication of the variation coefficient, according to selected characteristics</w:t>
      </w:r>
    </w:p>
    <w:p w:rsidR="00000000" w:rsidDel="00000000" w:rsidP="00000000" w:rsidRDefault="00000000" w:rsidRPr="00000000" w14:paraId="000000EC">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D">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2.29 - Distribution of the population according to the condition of occupation of the household, with indication of the coefficient of variation, according to selected characteristics</w:t>
      </w:r>
    </w:p>
    <w:p w:rsidR="00000000" w:rsidDel="00000000" w:rsidP="00000000" w:rsidRDefault="00000000" w:rsidRPr="00000000" w14:paraId="000000EE">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EF">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2.29 FU - Distribution of the population according to the condition of occupation of the household, with indication of the variation coefficient, according to Major Regions, Federation Units and Capital Cities</w:t>
      </w:r>
    </w:p>
    <w:p w:rsidR="00000000" w:rsidDel="00000000" w:rsidP="00000000" w:rsidRDefault="00000000" w:rsidRPr="00000000" w14:paraId="000000F0">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1">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2">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3">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4">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5">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6">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7">
      <w:pPr>
        <w:spacing w:after="0" w:before="0" w:line="360" w:lineRule="auto"/>
        <w:rPr>
          <w:rFonts w:ascii="Times New Roman" w:cs="Times New Roman" w:eastAsia="Times New Roman" w:hAnsi="Times New Roman"/>
          <w:color w:val="202124"/>
          <w:sz w:val="42"/>
          <w:szCs w:val="42"/>
          <w:highlight w:val="white"/>
        </w:rPr>
      </w:pPr>
      <w:r w:rsidDel="00000000" w:rsidR="00000000" w:rsidRPr="00000000">
        <w:rPr>
          <w:rtl w:val="0"/>
        </w:rPr>
      </w:r>
    </w:p>
    <w:p w:rsidR="00000000" w:rsidDel="00000000" w:rsidP="00000000" w:rsidRDefault="00000000" w:rsidRPr="00000000" w14:paraId="000000F8">
      <w:pPr>
        <w:spacing w:after="0" w:before="0" w:line="360" w:lineRule="auto"/>
        <w:jc w:val="center"/>
        <w:rPr>
          <w:rFonts w:ascii="Times New Roman" w:cs="Times New Roman" w:eastAsia="Times New Roman" w:hAnsi="Times New Roman"/>
          <w:b w:val="1"/>
          <w:color w:val="202124"/>
          <w:sz w:val="28"/>
          <w:szCs w:val="28"/>
          <w:highlight w:val="white"/>
          <w:u w:val="single"/>
        </w:rPr>
      </w:pPr>
      <w:r w:rsidDel="00000000" w:rsidR="00000000" w:rsidRPr="00000000">
        <w:rPr>
          <w:rFonts w:ascii="Times New Roman" w:cs="Times New Roman" w:eastAsia="Times New Roman" w:hAnsi="Times New Roman"/>
          <w:b w:val="1"/>
          <w:color w:val="202124"/>
          <w:sz w:val="28"/>
          <w:szCs w:val="28"/>
          <w:highlight w:val="white"/>
          <w:u w:val="single"/>
          <w:rtl w:val="0"/>
        </w:rPr>
        <w:t xml:space="preserve">Education</w:t>
      </w:r>
    </w:p>
    <w:p w:rsidR="00000000" w:rsidDel="00000000" w:rsidP="00000000" w:rsidRDefault="00000000" w:rsidRPr="00000000" w14:paraId="000000F9">
      <w:pPr>
        <w:spacing w:after="0" w:before="0" w:line="360" w:lineRule="auto"/>
        <w:jc w:val="left"/>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FA">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3.1 FU - Gross school attendance rate, by age group, with indication of variation coefficient, according to the Major Regions, the Federation Units and the Capital Cities</w:t>
      </w:r>
    </w:p>
    <w:p w:rsidR="00000000" w:rsidDel="00000000" w:rsidP="00000000" w:rsidRDefault="00000000" w:rsidRPr="00000000" w14:paraId="000000FB">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FC">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3.2 - Adjusted net school attendance rate of the resident population aged 6 to 24 years age, by age groups and level of education, with indication of the variation coefficient, according to Major Regions and selected characteristics</w:t>
      </w:r>
    </w:p>
    <w:p w:rsidR="00000000" w:rsidDel="00000000" w:rsidP="00000000" w:rsidRDefault="00000000" w:rsidRPr="00000000" w14:paraId="000000FD">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FE">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3.2 FU - Adjusted net school attendance rate for people aged 6 to 24 years age, by age groups and education level, with indication of the variation coefficient, according to Major Regions, Federation Units and Capital Cities</w:t>
      </w:r>
    </w:p>
    <w:p w:rsidR="00000000" w:rsidDel="00000000" w:rsidP="00000000" w:rsidRDefault="00000000" w:rsidRPr="00000000" w14:paraId="000000FF">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0">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3.3 - People attending educational institutions, by administrative network, with indication of the variation coefficient, according to education level and selected characteristics</w:t>
      </w:r>
    </w:p>
    <w:p w:rsidR="00000000" w:rsidDel="00000000" w:rsidP="00000000" w:rsidRDefault="00000000" w:rsidRPr="00000000" w14:paraId="00000101">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2">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3.4 FU - Percentage distribution of people attending educational institutions, by</w:t>
      </w:r>
    </w:p>
    <w:p w:rsidR="00000000" w:rsidDel="00000000" w:rsidP="00000000" w:rsidRDefault="00000000" w:rsidRPr="00000000" w14:paraId="00000103">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administrative network, indicating the variation coefficient, according to the level of education, Major Regions, Federation Units and Capital Cities</w:t>
      </w:r>
    </w:p>
    <w:p w:rsidR="00000000" w:rsidDel="00000000" w:rsidP="00000000" w:rsidRDefault="00000000" w:rsidRPr="00000000" w14:paraId="00000104">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5">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3.5 - Age-stage adequacy for people between 6 and 14 years of age, by groups of age and level of education, with indication of the coefficient of variation, according to Major Regions and selected features</w:t>
      </w:r>
    </w:p>
    <w:p w:rsidR="00000000" w:rsidDel="00000000" w:rsidP="00000000" w:rsidRDefault="00000000" w:rsidRPr="00000000" w14:paraId="00000106">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7">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3.6 - Age-stage adequacy for people between 15 and 24 years of age, by groups of</w:t>
      </w:r>
    </w:p>
    <w:p w:rsidR="00000000" w:rsidDel="00000000" w:rsidP="00000000" w:rsidRDefault="00000000" w:rsidRPr="00000000" w14:paraId="00000108">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age and level of education, with indication of the coefficient of variation, according to Major Regions and selected features</w:t>
      </w:r>
    </w:p>
    <w:p w:rsidR="00000000" w:rsidDel="00000000" w:rsidP="00000000" w:rsidRDefault="00000000" w:rsidRPr="00000000" w14:paraId="00000109">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A">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3.7 - Percentage distribution of people aged 25 or over by level of instruction, with indication of the variation coefficient, according to selected characteristics</w:t>
      </w:r>
    </w:p>
    <w:p w:rsidR="00000000" w:rsidDel="00000000" w:rsidP="00000000" w:rsidRDefault="00000000" w:rsidRPr="00000000" w14:paraId="0000010B">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C">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3.7 FU - Percentage distribution of people aged 25 or over by level of education instruction, indicating the coefficient of variation, according to the Major Regions and Federation Units</w:t>
      </w:r>
    </w:p>
    <w:p w:rsidR="00000000" w:rsidDel="00000000" w:rsidP="00000000" w:rsidRDefault="00000000" w:rsidRPr="00000000" w14:paraId="0000010D">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0E">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3.8 - Average number of years of schooling for people aged 18 to 29, with indication of the coefficient of variation, according to Major Regions and selected characteristics</w:t>
      </w:r>
    </w:p>
    <w:p w:rsidR="00000000" w:rsidDel="00000000" w:rsidP="00000000" w:rsidRDefault="00000000" w:rsidRPr="00000000" w14:paraId="0000010F">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0">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3.8 FU - Average number of years of schooling for people aged 18 to 29 years, with indication of the coefficient of variation, according to Major Regions and Federation Units</w:t>
      </w:r>
    </w:p>
    <w:p w:rsidR="00000000" w:rsidDel="00000000" w:rsidP="00000000" w:rsidRDefault="00000000" w:rsidRPr="00000000" w14:paraId="00000111">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2">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3.9 - Illiteracy rate of the population aged 15 or over, with indication of the coefficient of variation, according to Major Regions and selected characteristics</w:t>
      </w:r>
    </w:p>
    <w:p w:rsidR="00000000" w:rsidDel="00000000" w:rsidP="00000000" w:rsidRDefault="00000000" w:rsidRPr="00000000" w14:paraId="00000113">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14">
      <w:pPr>
        <w:spacing w:after="0" w:before="0" w:line="360" w:lineRule="auto"/>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Table 3.10 - Illiteracy rate of the population aged 15 or over, with indication the coefficient of variation, according to age groups and classes of percentage of people in ascending order of per capita household income</w:t>
      </w:r>
    </w:p>
    <w:p w:rsidR="00000000" w:rsidDel="00000000" w:rsidP="00000000" w:rsidRDefault="00000000" w:rsidRPr="00000000" w14:paraId="00000115">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16">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3.11 - Percentage distribution of young people aged 15 to 29, by type of activity in the reference week and age groups, with indication of the variation coefficient, according to selected features</w:t>
      </w:r>
    </w:p>
    <w:p w:rsidR="00000000" w:rsidDel="00000000" w:rsidP="00000000" w:rsidRDefault="00000000" w:rsidRPr="00000000" w14:paraId="00000117">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18">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3.11 FU - Percentage distribution of young people aged 15 to 29 years, by type of activity in the reference week and age groups, with indication of the coefficient of variation, according to Major Regions, Federation Units and Capital Cities</w:t>
      </w:r>
    </w:p>
    <w:p w:rsidR="00000000" w:rsidDel="00000000" w:rsidP="00000000" w:rsidRDefault="00000000" w:rsidRPr="00000000" w14:paraId="00000119">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1A">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3.12 - Percentage distribution of young people aged 15 to 29, by type of activity in the reference week and age groups, with indication of the variation coefficient, according to selected features</w:t>
      </w:r>
    </w:p>
    <w:p w:rsidR="00000000" w:rsidDel="00000000" w:rsidP="00000000" w:rsidRDefault="00000000" w:rsidRPr="00000000" w14:paraId="0000011B">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1C">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3.13 - Proportion of young people aged 15 to 29 years who do not study and have not completed higher education by sex, color or race and color or race and sex, and their percentage distribution according to selected characteristics</w:t>
      </w:r>
    </w:p>
    <w:p w:rsidR="00000000" w:rsidDel="00000000" w:rsidP="00000000" w:rsidRDefault="00000000" w:rsidRPr="00000000" w14:paraId="0000011D">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1E">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3.14 - Young people aged 15 to 29 who do not study and have not completed education higher, total and percentage distribution for the main reason for having stopped attending school, according to selected characteristics</w:t>
      </w:r>
    </w:p>
    <w:p w:rsidR="00000000" w:rsidDel="00000000" w:rsidP="00000000" w:rsidRDefault="00000000" w:rsidRPr="00000000" w14:paraId="0000011F">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0">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3.15 -Young people from 15 to 29 years of age who do not study and have not completed education higher, total and percentage distribution for the main reason for not attending school or another course, according to selected characteristics</w:t>
      </w:r>
    </w:p>
    <w:p w:rsidR="00000000" w:rsidDel="00000000" w:rsidP="00000000" w:rsidRDefault="00000000" w:rsidRPr="00000000" w14:paraId="00000121">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2">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3.16 - Young people aged 15 to 29 years who do not study and have not completed education higher education, total and percentage distribution for the main reason for not attending school, higher education or other course, according to the main reason for having stopped attending school, higher education or other course</w:t>
      </w:r>
    </w:p>
    <w:p w:rsidR="00000000" w:rsidDel="00000000" w:rsidP="00000000" w:rsidRDefault="00000000" w:rsidRPr="00000000" w14:paraId="00000123">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4">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Table 3.17 - Percentage distribution of young people aged 15 to 29 years who do not study and have not completed higher education, by type of activity in the reference week and groups of age, with indication of the coefficient of variation, according to age groups with which attend school</w:t>
      </w:r>
    </w:p>
    <w:p w:rsidR="00000000" w:rsidDel="00000000" w:rsidP="00000000" w:rsidRDefault="00000000" w:rsidRPr="00000000" w14:paraId="00000125">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6">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7">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8">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9">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A">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B">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C">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D">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E">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2F">
      <w:pPr>
        <w:spacing w:after="0" w:before="0" w:line="360" w:lineRule="auto"/>
        <w:jc w:val="left"/>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130">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1">
      <w:pPr>
        <w:spacing w:after="0" w:before="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color w:val="202124"/>
          <w:sz w:val="24"/>
          <w:szCs w:val="24"/>
          <w:shd w:fill="f8f9fa" w:val="clea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