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olor w:val="1E40AF"/>
          <w:sz w:val="72"/>
          <w:szCs w:val="72"/>
        </w:rPr>
        <w:t xml:space="preserve">END-TO-END AZURE</w:t>
      </w:r>
    </w:p>
    <w:p>
      <w:pPr>
        <w:spacing w:after="60" w:before="0"/>
        <w:jc w:val="center"/>
      </w:pPr>
      <w:r>
        <w:rPr>
          <w:rFonts w:ascii="Arial" w:cs="Arial" w:eastAsia="Arial" w:hAnsi="Arial"/>
          <w:b/>
          <w:bCs/>
          <w:color w:val="1E293B"/>
          <w:sz w:val="72"/>
          <w:szCs w:val="72"/>
        </w:rPr>
        <w:t xml:space="preserve">DATA ENGINEERING</w:t>
      </w:r>
    </w:p>
    <w:p>
      <w:pPr>
        <w:spacing w:after="200" w:before="0"/>
        <w:jc w:val="center"/>
      </w:pPr>
      <w:r>
        <w:rPr>
          <w:rFonts w:ascii="Arial" w:cs="Arial" w:eastAsia="Arial" w:hAnsi="Arial"/>
          <w:b/>
          <w:bCs/>
          <w:color w:val="1E293B"/>
          <w:sz w:val="72"/>
          <w:szCs w:val="72"/>
        </w:rPr>
        <w:t xml:space="preserve">PROJECT</w:t>
      </w:r>
    </w:p>
    <w:p>
      <w:pPr>
        <w:pBdr>
          <w:bottom w:val="single" w:color="0EA5E9" w:sz="12" w:space="8"/>
        </w:pBdr>
        <w:spacing w:after="300" w:before="0"/>
        <w:jc w:val="center"/>
      </w:pPr>
      <w:r>
        <w:rPr>
          <w:rFonts w:ascii="Arial" w:cs="Arial" w:eastAsia="Arial" w:hAnsi="Arial"/>
          <w:color w:val="64748B"/>
          <w:sz w:val="32"/>
          <w:szCs w:val="32"/>
        </w:rPr>
        <w:t xml:space="preserve">AdventureWorks Cycles — Sales Analytics Platform</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jc w:val="center"/>
            </w:pPr>
            <w:r>
              <w:rPr>
                <w:rFonts w:ascii="Arial" w:cs="Arial" w:eastAsia="Arial" w:hAnsi="Arial"/>
                <w:b/>
                <w:bCs/>
                <w:color w:val="1E40AF"/>
                <w:sz w:val="22"/>
                <w:szCs w:val="22"/>
              </w:rPr>
              <w:t xml:space="preserve">Architecture</w:t>
            </w:r>
          </w:p>
          <w:p>
            <w:pPr>
              <w:jc w:val="center"/>
            </w:pPr>
            <w:r>
              <w:rPr>
                <w:rFonts w:ascii="Arial" w:cs="Arial" w:eastAsia="Arial" w:hAnsi="Arial"/>
                <w:color w:val="1E293B"/>
                <w:sz w:val="20"/>
                <w:szCs w:val="20"/>
              </w:rPr>
              <w:t xml:space="preserve">Medallion (Bronze-Silver-Gold)</w:t>
            </w:r>
          </w:p>
        </w:tc>
        <w:tc>
          <w:tcPr>
            <w:tcBorders>
              <w:top w:val="single" w:color="CBD5E1" w:sz="1"/>
              <w:left w:val="single" w:color="CBD5E1" w:sz="1"/>
              <w:bottom w:val="single" w:color="CBD5E1" w:sz="1"/>
              <w:right w:val="single" w:color="CBD5E1" w:sz="1"/>
            </w:tcBorders>
            <w:shd w:fill="DCFCE7" w:val="clear"/>
            <w:tcMar>
              <w:top w:type="dxa" w:w="120"/>
              <w:left w:type="dxa" w:w="200"/>
              <w:bottom w:type="dxa" w:w="120"/>
              <w:right w:type="dxa" w:w="200"/>
            </w:tcMar>
          </w:tcPr>
          <w:p>
            <w:pPr>
              <w:jc w:val="center"/>
            </w:pPr>
            <w:r>
              <w:rPr>
                <w:rFonts w:ascii="Arial" w:cs="Arial" w:eastAsia="Arial" w:hAnsi="Arial"/>
                <w:b/>
                <w:bCs/>
                <w:color w:val="16A34A"/>
                <w:sz w:val="22"/>
                <w:szCs w:val="22"/>
              </w:rPr>
              <w:t xml:space="preserve">Data Sources</w:t>
            </w:r>
          </w:p>
          <w:p>
            <w:pPr>
              <w:jc w:val="center"/>
            </w:pPr>
            <w:r>
              <w:rPr>
                <w:rFonts w:ascii="Arial" w:cs="Arial" w:eastAsia="Arial" w:hAnsi="Arial"/>
                <w:color w:val="1E293B"/>
                <w:sz w:val="20"/>
                <w:szCs w:val="20"/>
              </w:rPr>
              <w:t xml:space="preserve">10 CSV files from GitHub</w:t>
            </w:r>
          </w:p>
        </w:tc>
        <w:tc>
          <w:tcPr>
            <w:tcBorders>
              <w:top w:val="single" w:color="CBD5E1" w:sz="1"/>
              <w:left w:val="single" w:color="CBD5E1" w:sz="1"/>
              <w:bottom w:val="single" w:color="CBD5E1" w:sz="1"/>
              <w:right w:val="single" w:color="CBD5E1" w:sz="1"/>
            </w:tcBorders>
            <w:shd w:fill="FEF9C3" w:val="clear"/>
            <w:tcMar>
              <w:top w:type="dxa" w:w="120"/>
              <w:left w:type="dxa" w:w="200"/>
              <w:bottom w:type="dxa" w:w="120"/>
              <w:right w:type="dxa" w:w="200"/>
            </w:tcMar>
          </w:tcPr>
          <w:p>
            <w:pPr>
              <w:jc w:val="center"/>
            </w:pPr>
            <w:r>
              <w:rPr>
                <w:rFonts w:ascii="Arial" w:cs="Arial" w:eastAsia="Arial" w:hAnsi="Arial"/>
                <w:b/>
                <w:bCs/>
                <w:color w:val="92400E"/>
                <w:sz w:val="22"/>
                <w:szCs w:val="22"/>
              </w:rPr>
              <w:t xml:space="preserve">Visualization</w:t>
            </w:r>
          </w:p>
          <w:p>
            <w:pPr>
              <w:jc w:val="center"/>
            </w:pPr>
            <w:r>
              <w:rPr>
                <w:rFonts w:ascii="Arial" w:cs="Arial" w:eastAsia="Arial" w:hAnsi="Arial"/>
                <w:color w:val="1E293B"/>
                <w:sz w:val="20"/>
                <w:szCs w:val="20"/>
              </w:rPr>
              <w:t xml:space="preserve">Power BI Dashboard</w:t>
            </w:r>
          </w:p>
        </w:tc>
      </w:tr>
    </w:tbl>
    <w:p>
      <w:pPr>
        <w:spacing w:after="0" w:before="600"/>
      </w:pPr>
      <w:r>
        <w:t xml:space="preserve"/>
      </w:r>
    </w:p>
    <w:p>
      <w:pPr>
        <w:jc w:val="center"/>
      </w:pPr>
      <w:r>
        <w:rPr>
          <w:rFonts w:ascii="Arial" w:cs="Arial" w:eastAsia="Arial" w:hAnsi="Arial"/>
          <w:color w:val="64748B"/>
          <w:sz w:val="22"/>
          <w:szCs w:val="22"/>
        </w:rPr>
        <w:t xml:space="preserve">Firoz  |  Azure Data Engineer  |  May 2026</w:t>
      </w:r>
    </w:p>
    <w:p>
      <w:r>
        <w:br w:type="page"/>
      </w:r>
    </w:p>
    <w:p>
      <w:pPr>
        <w:pStyle w:val="Heading1"/>
        <w:pBdr>
          <w:bottom w:val="single" w:color="1E40AF" w:sz="8" w:space="6"/>
        </w:pBdr>
        <w:spacing w:after="200" w:before="360"/>
      </w:pPr>
      <w:r>
        <w:rPr>
          <w:rFonts w:ascii="Arial" w:cs="Arial" w:eastAsia="Arial" w:hAnsi="Arial"/>
          <w:b/>
          <w:bCs/>
          <w:color w:val="1E40AF"/>
          <w:sz w:val="36"/>
          <w:szCs w:val="36"/>
        </w:rPr>
        <w:t xml:space="preserve">Project Overview</w:t>
      </w:r>
    </w:p>
    <w:p>
      <w:pPr>
        <w:spacing w:after="100" w:before="80"/>
      </w:pPr>
      <w:r>
        <w:rPr>
          <w:rFonts w:ascii="Arial" w:cs="Arial" w:eastAsia="Arial" w:hAnsi="Arial"/>
          <w:color w:val="1E293B"/>
          <w:sz w:val="22"/>
          <w:szCs w:val="22"/>
        </w:rPr>
        <w:t xml:space="preserve">This project implements a production-grade, cloud-native data pipeline on Microsoft Azure, following the Medallion Architecture pattern. Raw AdventureWorks Cycles sales and transactional data is ingested from GitHub, transformed through multiple quality layers, and delivered as interactive Power BI dashboards for business decision-making.</w:t>
      </w:r>
    </w:p>
    <w:p>
      <w:pPr>
        <w:spacing w:after="0" w:before="120"/>
      </w:pPr>
      <w:r>
        <w:t xml:space="preserve"/>
      </w:r>
    </w:p>
    <w:p>
      <w:pPr>
        <w:pStyle w:val="Heading2"/>
        <w:spacing w:after="140" w:before="280"/>
      </w:pPr>
      <w:r>
        <w:rPr>
          <w:rFonts w:ascii="Arial" w:cs="Arial" w:eastAsia="Arial" w:hAnsi="Arial"/>
          <w:b/>
          <w:bCs/>
          <w:color w:val="1E293B"/>
          <w:sz w:val="28"/>
          <w:szCs w:val="28"/>
        </w:rPr>
        <w:t xml:space="preserve">Business Objective</w:t>
      </w:r>
    </w:p>
    <w:p>
      <w:pPr>
        <w:spacing w:after="100" w:before="80"/>
      </w:pPr>
      <w:r>
        <w:rPr>
          <w:rFonts w:ascii="Arial" w:cs="Arial" w:eastAsia="Arial" w:hAnsi="Arial"/>
          <w:color w:val="1E293B"/>
          <w:sz w:val="22"/>
          <w:szCs w:val="22"/>
        </w:rPr>
        <w:t xml:space="preserve">AdventureWorks Cycles requires consolidated sales analytics across 2020–2022, enabling leadership to track order volume trends, customer behavior, product performance, and regional sales — all from a single governed data platform.</w:t>
      </w:r>
    </w:p>
    <w:p>
      <w:pPr>
        <w:spacing w:after="0" w:before="120"/>
      </w:pPr>
      <w:r>
        <w:t xml:space="preserve"/>
      </w:r>
    </w:p>
    <w:p>
      <w:pPr>
        <w:pStyle w:val="Heading2"/>
        <w:spacing w:after="140" w:before="280"/>
      </w:pPr>
      <w:r>
        <w:rPr>
          <w:rFonts w:ascii="Arial" w:cs="Arial" w:eastAsia="Arial" w:hAnsi="Arial"/>
          <w:b/>
          <w:bCs/>
          <w:color w:val="1E293B"/>
          <w:sz w:val="28"/>
          <w:szCs w:val="28"/>
        </w:rPr>
        <w:t xml:space="preserve">Key Outcomes</w:t>
      </w:r>
    </w:p>
    <w:p>
      <w:pPr>
        <w:pStyle w:val="ListParagraph"/>
        <w:numPr>
          <w:ilvl w:val="0"/>
          <w:numId w:val="2"/>
        </w:numPr>
        <w:spacing w:after="60" w:before="60"/>
      </w:pPr>
      <w:r>
        <w:rPr>
          <w:rFonts w:ascii="Arial" w:cs="Arial" w:eastAsia="Arial" w:hAnsi="Arial"/>
          <w:color w:val="1E293B"/>
          <w:sz w:val="22"/>
          <w:szCs w:val="22"/>
        </w:rPr>
        <w:t xml:space="preserve">Automated ingestion of 10 datasets from GitHub via Azure Data Factory</w:t>
      </w:r>
    </w:p>
    <w:p>
      <w:pPr>
        <w:pStyle w:val="ListParagraph"/>
        <w:numPr>
          <w:ilvl w:val="0"/>
          <w:numId w:val="2"/>
        </w:numPr>
        <w:spacing w:after="60" w:before="60"/>
      </w:pPr>
      <w:r>
        <w:rPr>
          <w:rFonts w:ascii="Arial" w:cs="Arial" w:eastAsia="Arial" w:hAnsi="Arial"/>
          <w:color w:val="1E293B"/>
          <w:sz w:val="22"/>
          <w:szCs w:val="22"/>
        </w:rPr>
        <w:t xml:space="preserve">Cleaned and transformed data stored in Parquet format on Azure Data Lake Gen2</w:t>
      </w:r>
    </w:p>
    <w:p>
      <w:pPr>
        <w:pStyle w:val="ListParagraph"/>
        <w:numPr>
          <w:ilvl w:val="0"/>
          <w:numId w:val="2"/>
        </w:numPr>
        <w:spacing w:after="60" w:before="60"/>
      </w:pPr>
      <w:r>
        <w:rPr>
          <w:rFonts w:ascii="Arial" w:cs="Arial" w:eastAsia="Arial" w:hAnsi="Arial"/>
          <w:color w:val="1E293B"/>
          <w:sz w:val="22"/>
          <w:szCs w:val="22"/>
        </w:rPr>
        <w:t xml:space="preserve">Gold layer views exposed via Azure Synapse Analytics serverless SQL pool</w:t>
      </w:r>
    </w:p>
    <w:p>
      <w:pPr>
        <w:pStyle w:val="ListParagraph"/>
        <w:numPr>
          <w:ilvl w:val="0"/>
          <w:numId w:val="2"/>
        </w:numPr>
        <w:spacing w:after="60" w:before="60"/>
      </w:pPr>
      <w:r>
        <w:rPr>
          <w:rFonts w:ascii="Arial" w:cs="Arial" w:eastAsia="Arial" w:hAnsi="Arial"/>
          <w:color w:val="1E293B"/>
          <w:sz w:val="22"/>
          <w:szCs w:val="22"/>
        </w:rPr>
        <w:t xml:space="preserve">External tables written back to gold container for downstream consumption</w:t>
      </w:r>
    </w:p>
    <w:p>
      <w:pPr>
        <w:pStyle w:val="ListParagraph"/>
        <w:numPr>
          <w:ilvl w:val="0"/>
          <w:numId w:val="2"/>
        </w:numPr>
        <w:spacing w:after="60" w:before="60"/>
      </w:pPr>
      <w:r>
        <w:rPr>
          <w:rFonts w:ascii="Arial" w:cs="Arial" w:eastAsia="Arial" w:hAnsi="Arial"/>
          <w:color w:val="1E293B"/>
          <w:sz w:val="22"/>
          <w:szCs w:val="22"/>
        </w:rPr>
        <w:t xml:space="preserve">Interactive Power BI report showing monthly order trends across all datasets</w:t>
      </w:r>
    </w:p>
    <w:p>
      <w:pPr>
        <w:spacing w:after="0" w:before="120"/>
      </w:pPr>
      <w:r>
        <w:t xml:space="preserve"/>
      </w:r>
    </w:p>
    <w:p>
      <w:r>
        <w:br w:type="page"/>
      </w:r>
    </w:p>
    <w:p>
      <w:pPr>
        <w:pStyle w:val="Heading1"/>
        <w:pBdr>
          <w:bottom w:val="single" w:color="1E40AF" w:sz="8" w:space="6"/>
        </w:pBdr>
        <w:spacing w:after="200" w:before="360"/>
      </w:pPr>
      <w:r>
        <w:rPr>
          <w:rFonts w:ascii="Arial" w:cs="Arial" w:eastAsia="Arial" w:hAnsi="Arial"/>
          <w:b/>
          <w:bCs/>
          <w:color w:val="1E40AF"/>
          <w:sz w:val="36"/>
          <w:szCs w:val="36"/>
        </w:rPr>
        <w:t xml:space="preserve">Architecture — Medallion Pattern</w:t>
      </w:r>
    </w:p>
    <w:p>
      <w:pPr>
        <w:spacing w:after="100" w:before="80"/>
      </w:pPr>
      <w:r>
        <w:rPr>
          <w:rFonts w:ascii="Arial" w:cs="Arial" w:eastAsia="Arial" w:hAnsi="Arial"/>
          <w:color w:val="1E293B"/>
          <w:sz w:val="22"/>
          <w:szCs w:val="22"/>
        </w:rPr>
        <w:t xml:space="preserve">The pipeline is structured around three logical zones in Azure Data Lake Storage Gen2: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5800"/>
      </w:tblGrid>
      <w:tr>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Container</w:t>
            </w:r>
          </w:p>
        </w:tc>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pct" w:w="100%"/>
            <w:gridSpan w:val="1"/>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Bronze</w:t>
            </w:r>
          </w:p>
        </w:tc>
        <w:tc>
          <w:tcPr>
            <w:tcW w:type="pct" w:w="100%"/>
            <w:gridSpan w:val="1"/>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val="false"/>
                <w:bCs w:val="false"/>
                <w:color w:val="1E293B"/>
                <w:sz w:val="20"/>
                <w:szCs w:val="20"/>
              </w:rPr>
              <w:t xml:space="preserve">bronze</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Raw ingested CSVs exactly as received from GitHub — no transformations applied. Acts as the immutable source of truth.</w:t>
            </w:r>
          </w:p>
        </w:tc>
      </w:tr>
      <w:tr>
        <w:tc>
          <w:tcPr>
            <w:tcW w:type="pct" w:w="100%"/>
            <w:gridSpan w:val="1"/>
            <w:tcBorders>
              <w:top w:val="single" w:color="CBD5E1" w:sz="1"/>
              <w:left w:val="single" w:color="CBD5E1" w:sz="1"/>
              <w:bottom w:val="single" w:color="CBD5E1" w:sz="1"/>
              <w:right w:val="single" w:color="CBD5E1" w:sz="1"/>
            </w:tcBorders>
            <w:shd w:fill="DCFCE7" w:val="clear"/>
            <w:tcMar>
              <w:top w:type="dxa" w:w="100"/>
              <w:left w:type="dxa" w:w="150"/>
              <w:bottom w:type="dxa" w:w="100"/>
              <w:right w:type="dxa" w:w="150"/>
            </w:tcMar>
          </w:tcPr>
          <w:p>
            <w:r>
              <w:rPr>
                <w:rFonts w:ascii="Arial" w:cs="Arial" w:eastAsia="Arial" w:hAnsi="Arial"/>
                <w:b/>
                <w:bCs/>
                <w:color w:val="16A34A"/>
                <w:sz w:val="20"/>
                <w:szCs w:val="20"/>
              </w:rPr>
              <w:t xml:space="preserve">Silver</w:t>
            </w:r>
          </w:p>
        </w:tc>
        <w:tc>
          <w:tcPr>
            <w:tcW w:type="pct" w:w="100%"/>
            <w:gridSpan w:val="1"/>
            <w:tcBorders>
              <w:top w:val="single" w:color="CBD5E1" w:sz="1"/>
              <w:left w:val="single" w:color="CBD5E1" w:sz="1"/>
              <w:bottom w:val="single" w:color="CBD5E1" w:sz="1"/>
              <w:right w:val="single" w:color="CBD5E1" w:sz="1"/>
            </w:tcBorders>
            <w:shd w:fill="DCFCE7" w:val="clear"/>
            <w:tcMar>
              <w:top w:type="dxa" w:w="100"/>
              <w:left w:type="dxa" w:w="150"/>
              <w:bottom w:type="dxa" w:w="100"/>
              <w:right w:type="dxa" w:w="150"/>
            </w:tcMar>
          </w:tcPr>
          <w:p>
            <w:r>
              <w:rPr>
                <w:rFonts w:ascii="Arial" w:cs="Arial" w:eastAsia="Arial" w:hAnsi="Arial"/>
                <w:b w:val="false"/>
                <w:bCs w:val="false"/>
                <w:color w:val="1E293B"/>
                <w:sz w:val="20"/>
                <w:szCs w:val="20"/>
              </w:rPr>
              <w:t xml:space="preserve">silver</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Cleaned, enriched Parquet files. Derived columns added (FullName, Month, Year), data types cast, SKUs normalized.</w:t>
            </w:r>
          </w:p>
        </w:tc>
      </w:tr>
      <w:tr>
        <w:tc>
          <w:tcPr>
            <w:tcW w:type="pct" w:w="100%"/>
            <w:gridSpan w:val="1"/>
            <w:tcBorders>
              <w:top w:val="single" w:color="CBD5E1" w:sz="1"/>
              <w:left w:val="single" w:color="CBD5E1" w:sz="1"/>
              <w:bottom w:val="single" w:color="CBD5E1" w:sz="1"/>
              <w:right w:val="single" w:color="CBD5E1"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Gold</w:t>
            </w:r>
          </w:p>
        </w:tc>
        <w:tc>
          <w:tcPr>
            <w:tcW w:type="pct" w:w="100%"/>
            <w:gridSpan w:val="1"/>
            <w:tcBorders>
              <w:top w:val="single" w:color="CBD5E1" w:sz="1"/>
              <w:left w:val="single" w:color="CBD5E1" w:sz="1"/>
              <w:bottom w:val="single" w:color="CBD5E1" w:sz="1"/>
              <w:right w:val="single" w:color="CBD5E1" w:sz="1"/>
            </w:tcBorders>
            <w:shd w:fill="FEF9C3" w:val="clear"/>
            <w:tcMar>
              <w:top w:type="dxa" w:w="100"/>
              <w:left w:type="dxa" w:w="150"/>
              <w:bottom w:type="dxa" w:w="100"/>
              <w:right w:type="dxa" w:w="150"/>
            </w:tcMar>
          </w:tcPr>
          <w:p>
            <w:r>
              <w:rPr>
                <w:rFonts w:ascii="Arial" w:cs="Arial" w:eastAsia="Arial" w:hAnsi="Arial"/>
                <w:b w:val="false"/>
                <w:bCs w:val="false"/>
                <w:color w:val="1E293B"/>
                <w:sz w:val="20"/>
                <w:szCs w:val="20"/>
              </w:rPr>
              <w:t xml:space="preserve">gold</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Business-ready views and external tables served via Synapse serverless SQL. Connected directly to Power BI.</w:t>
            </w:r>
          </w:p>
        </w:tc>
      </w:tr>
    </w:tbl>
    <w:p>
      <w:pPr>
        <w:spacing w:after="0" w:before="200"/>
      </w:pPr>
      <w:r>
        <w:t xml:space="preserve"/>
      </w:r>
    </w:p>
    <w:p>
      <w:pPr>
        <w:pStyle w:val="Heading2"/>
        <w:spacing w:after="140" w:before="280"/>
      </w:pPr>
      <w:r>
        <w:rPr>
          <w:rFonts w:ascii="Arial" w:cs="Arial" w:eastAsia="Arial" w:hAnsi="Arial"/>
          <w:b/>
          <w:bCs/>
          <w:color w:val="1E293B"/>
          <w:sz w:val="28"/>
          <w:szCs w:val="28"/>
        </w:rPr>
        <w:t xml:space="preserve">Azure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Azure Data Factory (ADF)</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Orchestration — Lookup + ForEach + Dynamic Copy pipeline</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Azure Data Lake Gen2</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Layered storage (bronze / silver / gold containers)</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Azure Databricks</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PySpark transformations for Silver layer</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Azure Synapse Analytics</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Serverless SQL pool — views and external tables over gold</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Power BI</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Final reporting and visualization layer</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GitHub</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Source of raw AdventureWorks CSV datasets</w:t>
            </w:r>
          </w:p>
        </w:tc>
      </w:tr>
    </w:tbl>
    <w:p>
      <w:pPr>
        <w:spacing w:after="0" w:before="120"/>
      </w:pPr>
      <w:r>
        <w:t xml:space="preserve"/>
      </w:r>
    </w:p>
    <w:p>
      <w:r>
        <w:br w:type="page"/>
      </w:r>
    </w:p>
    <w:p>
      <w:pPr>
        <w:pStyle w:val="Heading1"/>
        <w:pBdr>
          <w:bottom w:val="single" w:color="1E40AF" w:sz="8" w:space="6"/>
        </w:pBdr>
        <w:spacing w:after="200" w:before="360"/>
      </w:pPr>
      <w:r>
        <w:rPr>
          <w:rFonts w:ascii="Arial" w:cs="Arial" w:eastAsia="Arial" w:hAnsi="Arial"/>
          <w:b/>
          <w:bCs/>
          <w:color w:val="1E40AF"/>
          <w:sz w:val="36"/>
          <w:szCs w:val="36"/>
        </w:rPr>
        <w:t xml:space="preserve">Data Ingestion — Azure Data Factory Pipeline</w:t>
      </w:r>
    </w:p>
    <w:p>
      <w:pPr>
        <w:spacing w:after="100" w:before="80"/>
      </w:pPr>
      <w:r>
        <w:rPr>
          <w:rFonts w:ascii="Arial" w:cs="Arial" w:eastAsia="Arial" w:hAnsi="Arial"/>
          <w:color w:val="1E293B"/>
          <w:sz w:val="22"/>
          <w:szCs w:val="22"/>
        </w:rPr>
        <w:t xml:space="preserve">A parameterized ADF pipeline dynamically ingests all 10 CSV files from the public GitHub repository using a metadata-driven pattern — eliminating hardcoded copy activities.</w:t>
      </w:r>
    </w:p>
    <w:p>
      <w:pPr>
        <w:spacing w:after="0" w:before="120"/>
      </w:pPr>
      <w:r>
        <w:t xml:space="preserve"/>
      </w:r>
    </w:p>
    <w:p>
      <w:pPr>
        <w:pStyle w:val="Heading2"/>
        <w:spacing w:after="140" w:before="280"/>
      </w:pPr>
      <w:r>
        <w:rPr>
          <w:rFonts w:ascii="Arial" w:cs="Arial" w:eastAsia="Arial" w:hAnsi="Arial"/>
          <w:b/>
          <w:bCs/>
          <w:color w:val="1E293B"/>
          <w:sz w:val="28"/>
          <w:szCs w:val="28"/>
        </w:rPr>
        <w:t xml:space="preserve">Pipeline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Activity</w:t>
            </w:r>
          </w:p>
        </w:tc>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Configuration</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Lookup1</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Reads git.json — a JSON array of 10 objects each containing p_rel_url, p_sink_folder, p_file_name</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ForEach1</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Iterates over Lookup1 output; for each item fires a DynamicCOPy activity with the parameterized values</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DynamicCOPy</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HTTP source (GitHub raw URL) → ADLS Gen2 sink; folder and filename injected dynamically per iteration</w:t>
            </w:r>
          </w:p>
        </w:tc>
      </w:tr>
    </w:tbl>
    <w:p>
      <w:pPr>
        <w:spacing w:after="0" w:before="160"/>
      </w:pPr>
      <w:r>
        <w:t xml:space="preserve"/>
      </w:r>
    </w:p>
    <w:p>
      <w:pPr>
        <w:pStyle w:val="Heading2"/>
        <w:spacing w:after="140" w:before="280"/>
      </w:pPr>
      <w:r>
        <w:rPr>
          <w:rFonts w:ascii="Arial" w:cs="Arial" w:eastAsia="Arial" w:hAnsi="Arial"/>
          <w:b/>
          <w:bCs/>
          <w:color w:val="1E293B"/>
          <w:sz w:val="28"/>
          <w:szCs w:val="28"/>
        </w:rPr>
        <w:t xml:space="preserve">Pipeline Parameters (git.json)</w:t>
      </w:r>
    </w:p>
    <w:p>
      <w:pPr>
        <w:spacing w:after="100" w:before="80"/>
      </w:pPr>
      <w:r>
        <w:rPr>
          <w:rFonts w:ascii="Arial" w:cs="Arial" w:eastAsia="Arial" w:hAnsi="Arial"/>
          <w:color w:val="1E293B"/>
          <w:sz w:val="22"/>
          <w:szCs w:val="22"/>
        </w:rPr>
        <w:t xml:space="preserve">The configuration file drives the entire ingestion — add a new row to onboard a new dataset, no pipeline changes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2"/>
              <w:left w:val="single" w:color="0EA5E9" w:sz="8"/>
              <w:bottom w:val="single" w:color="94A3B8" w:sz="2"/>
              <w:right w:val="single" w:color="94A3B8" w:sz="2"/>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7DD3FC"/>
                <w:sz w:val="18"/>
                <w:szCs w:val="18"/>
              </w:rPr>
              <w:t xml:space="preserve">{ "p_rel_url": "...AdventureWorks Sales Data 2020.csv",</w:t>
            </w:r>
          </w:p>
          <w:p>
            <w:pPr>
              <w:spacing w:after="20" w:before="20"/>
            </w:pPr>
            <w:r>
              <w:rPr>
                <w:rFonts w:ascii="Courier New" w:cs="Courier New" w:eastAsia="Courier New" w:hAnsi="Courier New"/>
                <w:color w:val="7DD3FC"/>
                <w:sz w:val="18"/>
                <w:szCs w:val="18"/>
              </w:rPr>
              <w:t xml:space="preserve">  "p_sink_folder": "sales_data_2020",</w:t>
            </w:r>
          </w:p>
          <w:p>
            <w:pPr>
              <w:spacing w:after="20" w:before="20"/>
            </w:pPr>
            <w:r>
              <w:rPr>
                <w:rFonts w:ascii="Courier New" w:cs="Courier New" w:eastAsia="Courier New" w:hAnsi="Courier New"/>
                <w:color w:val="7DD3FC"/>
                <w:sz w:val="18"/>
                <w:szCs w:val="18"/>
              </w:rPr>
              <w:t xml:space="preserve">  "p_file_name": "sales_data_2020.csv" }</w:t>
            </w:r>
          </w:p>
        </w:tc>
      </w:tr>
    </w:tbl>
    <w:p>
      <w:pPr>
        <w:spacing w:after="0" w:before="120"/>
      </w:pPr>
      <w:r>
        <w:t xml:space="preserve"/>
      </w:r>
    </w:p>
    <w:p>
      <w:pPr>
        <w:pStyle w:val="Heading2"/>
        <w:spacing w:after="140" w:before="280"/>
      </w:pPr>
      <w:r>
        <w:rPr>
          <w:rFonts w:ascii="Arial" w:cs="Arial" w:eastAsia="Arial" w:hAnsi="Arial"/>
          <w:b/>
          <w:bCs/>
          <w:color w:val="1E293B"/>
          <w:sz w:val="28"/>
          <w:szCs w:val="28"/>
        </w:rPr>
        <w:t xml:space="preserve">Datasets Ingested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Dataset</w:t>
            </w:r>
          </w:p>
        </w:tc>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Bronze Folder</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Returns Data</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Returns/</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Calendar Lookup</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calendar_lookup/</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Customer Lookup</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customer_lookup/</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 Categories Lookup</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product_categories_lookup/</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 Subcategories Lookup</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product_subcategories_lookup/</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 Lookup</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product_lookup/</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Territory Lookup</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Territory/</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Sales Data 2020</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sales_data_2020/</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Sales Data 2021</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sales_2021/</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Sales Data 2022</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sales_2022/</w:t>
            </w:r>
          </w:p>
        </w:tc>
      </w:tr>
    </w:tbl>
    <w:p>
      <w:pPr>
        <w:spacing w:after="0" w:before="120"/>
      </w:pPr>
      <w:r>
        <w:t xml:space="preserve"/>
      </w:r>
    </w:p>
    <w:p>
      <w:r>
        <w:br w:type="page"/>
      </w:r>
    </w:p>
    <w:p>
      <w:pPr>
        <w:pStyle w:val="Heading1"/>
        <w:pBdr>
          <w:bottom w:val="single" w:color="1E40AF" w:sz="8" w:space="6"/>
        </w:pBdr>
        <w:spacing w:after="200" w:before="360"/>
      </w:pPr>
      <w:r>
        <w:rPr>
          <w:rFonts w:ascii="Arial" w:cs="Arial" w:eastAsia="Arial" w:hAnsi="Arial"/>
          <w:b/>
          <w:bCs/>
          <w:color w:val="1E40AF"/>
          <w:sz w:val="36"/>
          <w:szCs w:val="36"/>
        </w:rPr>
        <w:t xml:space="preserve">Silver Layer — Databricks PySpark Transformations</w:t>
      </w:r>
    </w:p>
    <w:p>
      <w:pPr>
        <w:spacing w:after="100" w:before="80"/>
      </w:pPr>
      <w:r>
        <w:rPr>
          <w:rFonts w:ascii="Arial" w:cs="Arial" w:eastAsia="Arial" w:hAnsi="Arial"/>
          <w:color w:val="1E293B"/>
          <w:sz w:val="22"/>
          <w:szCs w:val="22"/>
        </w:rPr>
        <w:t xml:space="preserve">A Databricks notebook reads all 10 bronze CSVs, applies business-logic transformations, and writes clean Parquet files to the silver container. Parquet provides columnar compression, schema enforcement, and fast analytical queries.</w:t>
      </w:r>
    </w:p>
    <w:p>
      <w:pPr>
        <w:spacing w:after="0" w:before="120"/>
      </w:pPr>
      <w:r>
        <w:t xml:space="preserve"/>
      </w:r>
    </w:p>
    <w:p>
      <w:pPr>
        <w:pStyle w:val="Heading2"/>
        <w:spacing w:after="140" w:before="280"/>
      </w:pPr>
      <w:r>
        <w:rPr>
          <w:rFonts w:ascii="Arial" w:cs="Arial" w:eastAsia="Arial" w:hAnsi="Arial"/>
          <w:b/>
          <w:bCs/>
          <w:color w:val="1E293B"/>
          <w:sz w:val="28"/>
          <w:szCs w:val="28"/>
        </w:rPr>
        <w:t xml:space="preserve">Transformation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Dataset</w:t>
            </w:r>
          </w:p>
        </w:tc>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Transformation</w:t>
            </w:r>
          </w:p>
        </w:tc>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Output</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Calendar</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Extracted Month and Year columns</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calendar.parquet</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Customer</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Concatenated Prefix + FirstName + LastName into FullName</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customer.parquet</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Split ProductSKU on '-' (kept prefix); split ProductName on space (kept first word)</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products.parquet</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Sales 2020</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Cast StockDate to timestamp; replaced 'S' prefix in OrderNumber with 'T'; computed multiply column</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sales.parquet</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Returns</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Written as-is (clean source)</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Returns.parquet</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Territory</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Written as-is</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Territory.parquet</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 Subcategories</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Written as-is</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product_subcategories.parquet</w:t>
            </w:r>
          </w:p>
        </w:tc>
      </w:tr>
    </w:tbl>
    <w:p>
      <w:pPr>
        <w:spacing w:after="0" w:before="160"/>
      </w:pPr>
      <w:r>
        <w:t xml:space="preserve"/>
      </w:r>
    </w:p>
    <w:p>
      <w:pPr>
        <w:pStyle w:val="Heading2"/>
        <w:spacing w:after="140" w:before="280"/>
      </w:pPr>
      <w:r>
        <w:rPr>
          <w:rFonts w:ascii="Arial" w:cs="Arial" w:eastAsia="Arial" w:hAnsi="Arial"/>
          <w:b/>
          <w:bCs/>
          <w:color w:val="1E293B"/>
          <w:sz w:val="28"/>
          <w:szCs w:val="28"/>
        </w:rPr>
        <w:t xml:space="preserve">Key Code Pattern — Calendar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2"/>
              <w:left w:val="single" w:color="0EA5E9" w:sz="8"/>
              <w:bottom w:val="single" w:color="94A3B8" w:sz="2"/>
              <w:right w:val="single" w:color="94A3B8" w:sz="2"/>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7DD3FC"/>
                <w:sz w:val="18"/>
                <w:szCs w:val="18"/>
              </w:rPr>
              <w:t xml:space="preserve">df_calendar_withColumn = df_calendar \</w:t>
            </w:r>
          </w:p>
          <w:p>
            <w:pPr>
              <w:spacing w:after="20" w:before="20"/>
            </w:pPr>
            <w:r>
              <w:rPr>
                <w:rFonts w:ascii="Courier New" w:cs="Courier New" w:eastAsia="Courier New" w:hAnsi="Courier New"/>
                <w:color w:val="7DD3FC"/>
                <w:sz w:val="18"/>
                <w:szCs w:val="18"/>
              </w:rPr>
              <w:t xml:space="preserve">    .withColumn('Month', month(col('Date'))) \</w:t>
            </w:r>
          </w:p>
          <w:p>
            <w:pPr>
              <w:spacing w:after="20" w:before="20"/>
            </w:pPr>
            <w:r>
              <w:rPr>
                <w:rFonts w:ascii="Courier New" w:cs="Courier New" w:eastAsia="Courier New" w:hAnsi="Courier New"/>
                <w:color w:val="7DD3FC"/>
                <w:sz w:val="18"/>
                <w:szCs w:val="18"/>
              </w:rPr>
              <w:t xml:space="preserve">    .withColumn('Year',  year(col('Date')))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df_calendar_withColumn.write.format('parquet') \</w:t>
            </w:r>
          </w:p>
          <w:p>
            <w:pPr>
              <w:spacing w:after="20" w:before="20"/>
            </w:pPr>
            <w:r>
              <w:rPr>
                <w:rFonts w:ascii="Courier New" w:cs="Courier New" w:eastAsia="Courier New" w:hAnsi="Courier New"/>
                <w:color w:val="7DD3FC"/>
                <w:sz w:val="18"/>
                <w:szCs w:val="18"/>
              </w:rPr>
              <w:t xml:space="preserve">    .mode('append') \</w:t>
            </w:r>
          </w:p>
          <w:p>
            <w:pPr>
              <w:spacing w:after="20" w:before="20"/>
            </w:pPr>
            <w:r>
              <w:rPr>
                <w:rFonts w:ascii="Courier New" w:cs="Courier New" w:eastAsia="Courier New" w:hAnsi="Courier New"/>
                <w:color w:val="7DD3FC"/>
                <w:sz w:val="18"/>
                <w:szCs w:val="18"/>
              </w:rPr>
              <w:t xml:space="preserve">    .option('path', 'abfss://silver@firoztwogen2.dfs.core.windows.net/calendar/calendar.parquet') \</w:t>
            </w:r>
          </w:p>
          <w:p>
            <w:pPr>
              <w:spacing w:after="20" w:before="20"/>
            </w:pPr>
            <w:r>
              <w:rPr>
                <w:rFonts w:ascii="Courier New" w:cs="Courier New" w:eastAsia="Courier New" w:hAnsi="Courier New"/>
                <w:color w:val="7DD3FC"/>
                <w:sz w:val="18"/>
                <w:szCs w:val="18"/>
              </w:rPr>
              <w:t xml:space="preserve">    .save()</w:t>
            </w:r>
          </w:p>
        </w:tc>
      </w:tr>
    </w:tbl>
    <w:p>
      <w:pPr>
        <w:spacing w:after="0" w:before="120"/>
      </w:pPr>
      <w:r>
        <w:t xml:space="preserve"/>
      </w:r>
    </w:p>
    <w:p>
      <w:pPr>
        <w:pStyle w:val="Heading2"/>
        <w:spacing w:after="140" w:before="280"/>
      </w:pPr>
      <w:r>
        <w:rPr>
          <w:rFonts w:ascii="Arial" w:cs="Arial" w:eastAsia="Arial" w:hAnsi="Arial"/>
          <w:b/>
          <w:bCs/>
          <w:color w:val="1E293B"/>
          <w:sz w:val="28"/>
          <w:szCs w:val="28"/>
        </w:rPr>
        <w:t xml:space="preserve">Key Code Pattern — Customer Full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2"/>
              <w:left w:val="single" w:color="0EA5E9" w:sz="8"/>
              <w:bottom w:val="single" w:color="94A3B8" w:sz="2"/>
              <w:right w:val="single" w:color="94A3B8" w:sz="2"/>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7DD3FC"/>
                <w:sz w:val="18"/>
                <w:szCs w:val="18"/>
              </w:rPr>
              <w:t xml:space="preserve">df_customer_wColumn = df_customer.withColumn(</w:t>
            </w:r>
          </w:p>
          <w:p>
            <w:pPr>
              <w:spacing w:after="20" w:before="20"/>
            </w:pPr>
            <w:r>
              <w:rPr>
                <w:rFonts w:ascii="Courier New" w:cs="Courier New" w:eastAsia="Courier New" w:hAnsi="Courier New"/>
                <w:color w:val="7DD3FC"/>
                <w:sz w:val="18"/>
                <w:szCs w:val="18"/>
              </w:rPr>
              <w:t xml:space="preserve">    'FullName', concat_ws(' ', col('Prefix'), col('FirstName'), col('LastName')))</w:t>
            </w:r>
          </w:p>
        </w:tc>
      </w:tr>
    </w:tbl>
    <w:p>
      <w:pPr>
        <w:spacing w:after="0" w:before="120"/>
      </w:pPr>
      <w:r>
        <w:t xml:space="preserve"/>
      </w:r>
    </w:p>
    <w:p>
      <w:pPr>
        <w:pStyle w:val="Heading2"/>
        <w:spacing w:after="140" w:before="280"/>
      </w:pPr>
      <w:r>
        <w:rPr>
          <w:rFonts w:ascii="Arial" w:cs="Arial" w:eastAsia="Arial" w:hAnsi="Arial"/>
          <w:b/>
          <w:bCs/>
          <w:color w:val="1E293B"/>
          <w:sz w:val="28"/>
          <w:szCs w:val="28"/>
        </w:rPr>
        <w:t xml:space="preserve">Key Code Pattern — Sales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2"/>
              <w:left w:val="single" w:color="0EA5E9" w:sz="8"/>
              <w:bottom w:val="single" w:color="94A3B8" w:sz="2"/>
              <w:right w:val="single" w:color="94A3B8" w:sz="2"/>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7DD3FC"/>
                <w:sz w:val="18"/>
                <w:szCs w:val="18"/>
              </w:rPr>
              <w:t xml:space="preserve">df_sales = df_sales.withColumn('StockDate', to_timestamp('StockDate'))</w:t>
            </w:r>
          </w:p>
          <w:p>
            <w:pPr>
              <w:spacing w:after="20" w:before="20"/>
            </w:pPr>
            <w:r>
              <w:rPr>
                <w:rFonts w:ascii="Courier New" w:cs="Courier New" w:eastAsia="Courier New" w:hAnsi="Courier New"/>
                <w:color w:val="7DD3FC"/>
                <w:sz w:val="18"/>
                <w:szCs w:val="18"/>
              </w:rPr>
              <w:t xml:space="preserve">df_sales = df_sales.withColumn('OrderNumber', regexp_replace(col('OrderNumber'), 'S', 'T'))</w:t>
            </w:r>
          </w:p>
          <w:p>
            <w:pPr>
              <w:spacing w:after="20" w:before="20"/>
            </w:pPr>
            <w:r>
              <w:rPr>
                <w:rFonts w:ascii="Courier New" w:cs="Courier New" w:eastAsia="Courier New" w:hAnsi="Courier New"/>
                <w:color w:val="7DD3FC"/>
                <w:sz w:val="18"/>
                <w:szCs w:val="18"/>
              </w:rPr>
              <w:t xml:space="preserve">df_sales = df_sales.withColumn('multiply', col('OrderLineItem') * col('OrderQuantity'))</w:t>
            </w:r>
          </w:p>
        </w:tc>
      </w:tr>
    </w:tbl>
    <w:p>
      <w:pPr>
        <w:spacing w:after="0" w:before="120"/>
      </w:pPr>
      <w:r>
        <w:t xml:space="preserve"/>
      </w:r>
    </w:p>
    <w:p>
      <w:r>
        <w:br w:type="page"/>
      </w:r>
    </w:p>
    <w:p>
      <w:pPr>
        <w:pStyle w:val="Heading1"/>
        <w:pBdr>
          <w:bottom w:val="single" w:color="1E40AF" w:sz="8" w:space="6"/>
        </w:pBdr>
        <w:spacing w:after="200" w:before="360"/>
      </w:pPr>
      <w:r>
        <w:rPr>
          <w:rFonts w:ascii="Arial" w:cs="Arial" w:eastAsia="Arial" w:hAnsi="Arial"/>
          <w:b/>
          <w:bCs/>
          <w:color w:val="1E40AF"/>
          <w:sz w:val="36"/>
          <w:szCs w:val="36"/>
        </w:rPr>
        <w:t xml:space="preserve">Gold Layer — Synapse Analytics Serverless SQL</w:t>
      </w:r>
    </w:p>
    <w:p>
      <w:pPr>
        <w:spacing w:after="100" w:before="80"/>
      </w:pPr>
      <w:r>
        <w:rPr>
          <w:rFonts w:ascii="Arial" w:cs="Arial" w:eastAsia="Arial" w:hAnsi="Arial"/>
          <w:color w:val="1E293B"/>
          <w:sz w:val="22"/>
          <w:szCs w:val="22"/>
        </w:rPr>
        <w:t xml:space="preserve">Azure Synapse Analytics serverless SQL pool creates views over the silver Parquet files using OPENROWSET, then materializes key datasets as external tables written back to the gold container. Power BI connects directly to these gold objects.</w:t>
      </w:r>
    </w:p>
    <w:p>
      <w:pPr>
        <w:spacing w:after="0" w:before="120"/>
      </w:pPr>
      <w:r>
        <w:t xml:space="preserve"/>
      </w:r>
    </w:p>
    <w:p>
      <w:pPr>
        <w:pStyle w:val="Heading2"/>
        <w:spacing w:after="140" w:before="280"/>
      </w:pPr>
      <w:r>
        <w:rPr>
          <w:rFonts w:ascii="Arial" w:cs="Arial" w:eastAsia="Arial" w:hAnsi="Arial"/>
          <w:b/>
          <w:bCs/>
          <w:color w:val="1E293B"/>
          <w:sz w:val="28"/>
          <w:szCs w:val="28"/>
        </w:rPr>
        <w:t xml:space="preserve">Setup Steps</w:t>
      </w:r>
    </w:p>
    <w:p>
      <w:pPr>
        <w:pStyle w:val="ListParagraph"/>
        <w:numPr>
          <w:ilvl w:val="0"/>
          <w:numId w:val="2"/>
        </w:numPr>
        <w:spacing w:after="60" w:before="60"/>
      </w:pPr>
      <w:r>
        <w:rPr>
          <w:rFonts w:ascii="Arial" w:cs="Arial" w:eastAsia="Arial" w:hAnsi="Arial"/>
          <w:color w:val="1E293B"/>
          <w:sz w:val="22"/>
          <w:szCs w:val="22"/>
        </w:rPr>
        <w:t xml:space="preserve">Create gold schema in serverless SQL database</w:t>
      </w:r>
    </w:p>
    <w:p>
      <w:pPr>
        <w:pStyle w:val="ListParagraph"/>
        <w:numPr>
          <w:ilvl w:val="0"/>
          <w:numId w:val="2"/>
        </w:numPr>
        <w:spacing w:after="60" w:before="60"/>
      </w:pPr>
      <w:r>
        <w:rPr>
          <w:rFonts w:ascii="Arial" w:cs="Arial" w:eastAsia="Arial" w:hAnsi="Arial"/>
          <w:color w:val="1E293B"/>
          <w:sz w:val="22"/>
          <w:szCs w:val="22"/>
        </w:rPr>
        <w:t xml:space="preserve">Generate database master key with a strong password</w:t>
      </w:r>
    </w:p>
    <w:p>
      <w:pPr>
        <w:pStyle w:val="ListParagraph"/>
        <w:numPr>
          <w:ilvl w:val="0"/>
          <w:numId w:val="2"/>
        </w:numPr>
        <w:spacing w:after="60" w:before="60"/>
      </w:pPr>
      <w:r>
        <w:rPr>
          <w:rFonts w:ascii="Arial" w:cs="Arial" w:eastAsia="Arial" w:hAnsi="Arial"/>
          <w:color w:val="1E293B"/>
          <w:sz w:val="22"/>
          <w:szCs w:val="22"/>
        </w:rPr>
        <w:t xml:space="preserve">Create database scoped credential using Managed Identity</w:t>
      </w:r>
    </w:p>
    <w:p>
      <w:pPr>
        <w:pStyle w:val="ListParagraph"/>
        <w:numPr>
          <w:ilvl w:val="0"/>
          <w:numId w:val="2"/>
        </w:numPr>
        <w:spacing w:after="60" w:before="60"/>
      </w:pPr>
      <w:r>
        <w:rPr>
          <w:rFonts w:ascii="Arial" w:cs="Arial" w:eastAsia="Arial" w:hAnsi="Arial"/>
          <w:color w:val="1E293B"/>
          <w:sz w:val="22"/>
          <w:szCs w:val="22"/>
        </w:rPr>
        <w:t xml:space="preserve">Define external data sources for silver and gold containers</w:t>
      </w:r>
    </w:p>
    <w:p>
      <w:pPr>
        <w:pStyle w:val="ListParagraph"/>
        <w:numPr>
          <w:ilvl w:val="0"/>
          <w:numId w:val="2"/>
        </w:numPr>
        <w:spacing w:after="60" w:before="60"/>
      </w:pPr>
      <w:r>
        <w:rPr>
          <w:rFonts w:ascii="Arial" w:cs="Arial" w:eastAsia="Arial" w:hAnsi="Arial"/>
          <w:color w:val="1E293B"/>
          <w:sz w:val="22"/>
          <w:szCs w:val="22"/>
        </w:rPr>
        <w:t xml:space="preserve">Define external file format (Parquet + Snappy compression)</w:t>
      </w:r>
    </w:p>
    <w:p>
      <w:pPr>
        <w:pStyle w:val="ListParagraph"/>
        <w:numPr>
          <w:ilvl w:val="0"/>
          <w:numId w:val="2"/>
        </w:numPr>
        <w:spacing w:after="60" w:before="60"/>
      </w:pPr>
      <w:r>
        <w:rPr>
          <w:rFonts w:ascii="Arial" w:cs="Arial" w:eastAsia="Arial" w:hAnsi="Arial"/>
          <w:color w:val="1E293B"/>
          <w:sz w:val="22"/>
          <w:szCs w:val="22"/>
        </w:rPr>
        <w:t xml:space="preserve">Create views using OPENROWSET pointing to silver Parquet files</w:t>
      </w:r>
    </w:p>
    <w:p>
      <w:pPr>
        <w:pStyle w:val="ListParagraph"/>
        <w:numPr>
          <w:ilvl w:val="0"/>
          <w:numId w:val="2"/>
        </w:numPr>
        <w:spacing w:after="60" w:before="60"/>
      </w:pPr>
      <w:r>
        <w:rPr>
          <w:rFonts w:ascii="Arial" w:cs="Arial" w:eastAsia="Arial" w:hAnsi="Arial"/>
          <w:color w:val="1E293B"/>
          <w:sz w:val="22"/>
          <w:szCs w:val="22"/>
        </w:rPr>
        <w:t xml:space="preserve">Create external table gold.extsales materializing the sales view</w:t>
      </w:r>
    </w:p>
    <w:p>
      <w:pPr>
        <w:spacing w:after="0" w:before="120"/>
      </w:pPr>
      <w:r>
        <w:t xml:space="preserve"/>
      </w:r>
    </w:p>
    <w:p>
      <w:pPr>
        <w:pStyle w:val="Heading2"/>
        <w:spacing w:after="140" w:before="280"/>
      </w:pPr>
      <w:r>
        <w:rPr>
          <w:rFonts w:ascii="Arial" w:cs="Arial" w:eastAsia="Arial" w:hAnsi="Arial"/>
          <w:b/>
          <w:bCs/>
          <w:color w:val="1E293B"/>
          <w:sz w:val="28"/>
          <w:szCs w:val="28"/>
        </w:rPr>
        <w:t xml:space="preserve">View Creation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2"/>
              <w:left w:val="single" w:color="0EA5E9" w:sz="8"/>
              <w:bottom w:val="single" w:color="94A3B8" w:sz="2"/>
              <w:right w:val="single" w:color="94A3B8" w:sz="2"/>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7DD3FC"/>
                <w:sz w:val="18"/>
                <w:szCs w:val="18"/>
              </w:rPr>
              <w:t xml:space="preserve">CREATE VIEW gold.calendar AS</w:t>
            </w:r>
          </w:p>
          <w:p>
            <w:pPr>
              <w:spacing w:after="20" w:before="20"/>
            </w:pPr>
            <w:r>
              <w:rPr>
                <w:rFonts w:ascii="Courier New" w:cs="Courier New" w:eastAsia="Courier New" w:hAnsi="Courier New"/>
                <w:color w:val="7DD3FC"/>
                <w:sz w:val="18"/>
                <w:szCs w:val="18"/>
              </w:rPr>
              <w:t xml:space="preserve">SELECT * FROM OPENROWSET(</w:t>
            </w:r>
          </w:p>
          <w:p>
            <w:pPr>
              <w:spacing w:after="20" w:before="20"/>
            </w:pPr>
            <w:r>
              <w:rPr>
                <w:rFonts w:ascii="Courier New" w:cs="Courier New" w:eastAsia="Courier New" w:hAnsi="Courier New"/>
                <w:color w:val="7DD3FC"/>
                <w:sz w:val="18"/>
                <w:szCs w:val="18"/>
              </w:rPr>
              <w:t xml:space="preserve">    BULK 'https://firoztwogen2.blob.core.windows.net/silver/calendar/calendar.parquet/',</w:t>
            </w:r>
          </w:p>
          <w:p>
            <w:pPr>
              <w:spacing w:after="20" w:before="20"/>
            </w:pPr>
            <w:r>
              <w:rPr>
                <w:rFonts w:ascii="Courier New" w:cs="Courier New" w:eastAsia="Courier New" w:hAnsi="Courier New"/>
                <w:color w:val="7DD3FC"/>
                <w:sz w:val="18"/>
                <w:szCs w:val="18"/>
              </w:rPr>
              <w:t xml:space="preserve">    FORMAT = 'PARQUET'</w:t>
            </w:r>
          </w:p>
          <w:p>
            <w:pPr>
              <w:spacing w:after="20" w:before="20"/>
            </w:pPr>
            <w:r>
              <w:rPr>
                <w:rFonts w:ascii="Courier New" w:cs="Courier New" w:eastAsia="Courier New" w:hAnsi="Courier New"/>
                <w:color w:val="7DD3FC"/>
                <w:sz w:val="18"/>
                <w:szCs w:val="18"/>
              </w:rPr>
              <w:t xml:space="preserve">) AS query1</w:t>
            </w:r>
          </w:p>
        </w:tc>
      </w:tr>
    </w:tbl>
    <w:p>
      <w:pPr>
        <w:spacing w:after="0" w:before="120"/>
      </w:pPr>
      <w:r>
        <w:t xml:space="preserve"/>
      </w:r>
    </w:p>
    <w:p>
      <w:pPr>
        <w:pStyle w:val="Heading2"/>
        <w:spacing w:after="140" w:before="280"/>
      </w:pPr>
      <w:r>
        <w:rPr>
          <w:rFonts w:ascii="Arial" w:cs="Arial" w:eastAsia="Arial" w:hAnsi="Arial"/>
          <w:b/>
          <w:bCs/>
          <w:color w:val="1E293B"/>
          <w:sz w:val="28"/>
          <w:szCs w:val="28"/>
        </w:rPr>
        <w:t xml:space="preserve">Gold Views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View Name</w:t>
            </w:r>
          </w:p>
        </w:tc>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Source Parquet Path</w:t>
            </w:r>
          </w:p>
        </w:tc>
      </w:tr>
      <w:tr>
        <w:tc>
          <w:tcPr>
            <w:tcW w:type="pct" w:w="100%"/>
            <w:gridSpan w:val="1"/>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gold.calendar</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silver/calendar/calendar.parquet/</w:t>
            </w:r>
          </w:p>
        </w:tc>
      </w:tr>
      <w:tr>
        <w:tc>
          <w:tcPr>
            <w:tcW w:type="pct" w:w="100%"/>
            <w:gridSpan w:val="1"/>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gold.customer</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silver/customer/customer.parquet/</w:t>
            </w:r>
          </w:p>
        </w:tc>
      </w:tr>
      <w:tr>
        <w:tc>
          <w:tcPr>
            <w:tcW w:type="pct" w:w="100%"/>
            <w:gridSpan w:val="1"/>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gold.products</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silver/products/products.parquet/</w:t>
            </w:r>
          </w:p>
        </w:tc>
      </w:tr>
      <w:tr>
        <w:tc>
          <w:tcPr>
            <w:tcW w:type="pct" w:w="100%"/>
            <w:gridSpan w:val="1"/>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gold.product_subcategories</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silver/product_subcategories/product_subcategories.parquet/</w:t>
            </w:r>
          </w:p>
        </w:tc>
      </w:tr>
      <w:tr>
        <w:tc>
          <w:tcPr>
            <w:tcW w:type="pct" w:w="100%"/>
            <w:gridSpan w:val="1"/>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gold.returns</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silver/Returns/Returns.parquet/</w:t>
            </w:r>
          </w:p>
        </w:tc>
      </w:tr>
      <w:tr>
        <w:tc>
          <w:tcPr>
            <w:tcW w:type="pct" w:w="100%"/>
            <w:gridSpan w:val="1"/>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gold.Territory</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silver/Territory/Territory.parquet/</w:t>
            </w:r>
          </w:p>
        </w:tc>
      </w:tr>
      <w:tr>
        <w:tc>
          <w:tcPr>
            <w:tcW w:type="pct" w:w="100%"/>
            <w:gridSpan w:val="1"/>
            <w:tcBorders>
              <w:top w:val="single" w:color="CBD5E1" w:sz="1"/>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bCs/>
                <w:color w:val="1E40AF"/>
                <w:sz w:val="20"/>
                <w:szCs w:val="20"/>
              </w:rPr>
              <w:t xml:space="preserve">gold.sales</w:t>
            </w:r>
          </w:p>
        </w:tc>
        <w:tc>
          <w:tcPr>
            <w:tcW w:type="pct" w:w="100%"/>
            <w:gridSpan w:val="1"/>
            <w:tcBorders>
              <w:top w:val="single" w:color="CBD5E1" w:sz="1"/>
              <w:left w:val="single" w:color="CBD5E1" w:sz="1"/>
              <w:bottom w:val="single" w:color="CBD5E1" w:sz="1"/>
              <w:right w:val="single" w:color="CBD5E1"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silver/sales/sales.parquet/</w:t>
            </w:r>
          </w:p>
        </w:tc>
      </w:tr>
    </w:tbl>
    <w:p>
      <w:pPr>
        <w:spacing w:after="0" w:before="160"/>
      </w:pPr>
      <w:r>
        <w:t xml:space="preserve"/>
      </w:r>
    </w:p>
    <w:p>
      <w:pPr>
        <w:pStyle w:val="Heading2"/>
        <w:spacing w:after="140" w:before="280"/>
      </w:pPr>
      <w:r>
        <w:rPr>
          <w:rFonts w:ascii="Arial" w:cs="Arial" w:eastAsia="Arial" w:hAnsi="Arial"/>
          <w:b/>
          <w:bCs/>
          <w:color w:val="1E293B"/>
          <w:sz w:val="28"/>
          <w:szCs w:val="28"/>
        </w:rPr>
        <w:t xml:space="preserve">External Table — gold.extsales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2"/>
              <w:left w:val="single" w:color="0EA5E9" w:sz="8"/>
              <w:bottom w:val="single" w:color="94A3B8" w:sz="2"/>
              <w:right w:val="single" w:color="94A3B8" w:sz="2"/>
            </w:tcBorders>
            <w:shd w:fill="0F172A" w:val="clear"/>
            <w:tcMar>
              <w:top w:type="dxa" w:w="120"/>
              <w:left w:type="dxa" w:w="200"/>
              <w:bottom w:type="dxa" w:w="120"/>
              <w:right w:type="dxa" w:w="200"/>
            </w:tcMar>
          </w:tcPr>
          <w:p>
            <w:pPr>
              <w:spacing w:after="20" w:before="20"/>
            </w:pPr>
            <w:r>
              <w:rPr>
                <w:rFonts w:ascii="Courier New" w:cs="Courier New" w:eastAsia="Courier New" w:hAnsi="Courier New"/>
                <w:color w:val="7DD3FC"/>
                <w:sz w:val="18"/>
                <w:szCs w:val="18"/>
              </w:rPr>
              <w:t xml:space="preserve">CREATE EXTERNAL TABLE gold.extsales</w:t>
            </w:r>
          </w:p>
          <w:p>
            <w:pPr>
              <w:spacing w:after="20" w:before="20"/>
            </w:pPr>
            <w:r>
              <w:rPr>
                <w:rFonts w:ascii="Courier New" w:cs="Courier New" w:eastAsia="Courier New" w:hAnsi="Courier New"/>
                <w:color w:val="7DD3FC"/>
                <w:sz w:val="18"/>
                <w:szCs w:val="18"/>
              </w:rPr>
              <w:t xml:space="preserve">WITH (</w:t>
            </w:r>
          </w:p>
          <w:p>
            <w:pPr>
              <w:spacing w:after="20" w:before="20"/>
            </w:pPr>
            <w:r>
              <w:rPr>
                <w:rFonts w:ascii="Courier New" w:cs="Courier New" w:eastAsia="Courier New" w:hAnsi="Courier New"/>
                <w:color w:val="7DD3FC"/>
                <w:sz w:val="18"/>
                <w:szCs w:val="18"/>
              </w:rPr>
              <w:t xml:space="preserve">    location    = 'extsales',</w:t>
            </w:r>
          </w:p>
          <w:p>
            <w:pPr>
              <w:spacing w:after="20" w:before="20"/>
            </w:pPr>
            <w:r>
              <w:rPr>
                <w:rFonts w:ascii="Courier New" w:cs="Courier New" w:eastAsia="Courier New" w:hAnsi="Courier New"/>
                <w:color w:val="7DD3FC"/>
                <w:sz w:val="18"/>
                <w:szCs w:val="18"/>
              </w:rPr>
              <w:t xml:space="preserve">    data_source = source_gold,</w:t>
            </w:r>
          </w:p>
          <w:p>
            <w:pPr>
              <w:spacing w:after="20" w:before="20"/>
            </w:pPr>
            <w:r>
              <w:rPr>
                <w:rFonts w:ascii="Courier New" w:cs="Courier New" w:eastAsia="Courier New" w:hAnsi="Courier New"/>
                <w:color w:val="7DD3FC"/>
                <w:sz w:val="18"/>
                <w:szCs w:val="18"/>
              </w:rPr>
              <w:t xml:space="preserve">    file_format = format_parquet</w:t>
            </w:r>
          </w:p>
          <w:p>
            <w:pPr>
              <w:spacing w:after="20" w:before="20"/>
            </w:pPr>
            <w:r>
              <w:rPr>
                <w:rFonts w:ascii="Courier New" w:cs="Courier New" w:eastAsia="Courier New" w:hAnsi="Courier New"/>
                <w:color w:val="7DD3FC"/>
                <w:sz w:val="18"/>
                <w:szCs w:val="18"/>
              </w:rPr>
              <w:t xml:space="preserve">) AS SELECT * FROM gold.sales</w:t>
            </w:r>
          </w:p>
        </w:tc>
      </w:tr>
    </w:tbl>
    <w:p>
      <w:pPr>
        <w:spacing w:after="0" w:before="120"/>
      </w:pPr>
      <w:r>
        <w:t xml:space="preserve"/>
      </w:r>
    </w:p>
    <w:p>
      <w:r>
        <w:br w:type="page"/>
      </w:r>
    </w:p>
    <w:p>
      <w:pPr>
        <w:pStyle w:val="Heading1"/>
        <w:pBdr>
          <w:bottom w:val="single" w:color="1E40AF" w:sz="8" w:space="6"/>
        </w:pBdr>
        <w:spacing w:after="200" w:before="360"/>
      </w:pPr>
      <w:r>
        <w:rPr>
          <w:rFonts w:ascii="Arial" w:cs="Arial" w:eastAsia="Arial" w:hAnsi="Arial"/>
          <w:b/>
          <w:bCs/>
          <w:color w:val="1E40AF"/>
          <w:sz w:val="36"/>
          <w:szCs w:val="36"/>
        </w:rPr>
        <w:t xml:space="preserve">Power BI Dashboard</w:t>
      </w:r>
    </w:p>
    <w:p>
      <w:pPr>
        <w:spacing w:after="100" w:before="80"/>
      </w:pPr>
      <w:r>
        <w:rPr>
          <w:rFonts w:ascii="Arial" w:cs="Arial" w:eastAsia="Arial" w:hAnsi="Arial"/>
          <w:color w:val="1E293B"/>
          <w:sz w:val="22"/>
          <w:szCs w:val="22"/>
        </w:rPr>
        <w:t xml:space="preserve">The Power BI report connects directly to the Synapse serverless SQL gold layer, querying external tables for maximum freshness. The primary chart shows Sum of OrderLineItem by Month — surfacing seasonality and order volume patterns across the full year.</w:t>
      </w:r>
    </w:p>
    <w:p>
      <w:pPr>
        <w:spacing w:after="0" w:before="120"/>
      </w:pPr>
      <w:r>
        <w:t xml:space="preserve"/>
      </w:r>
    </w:p>
    <w:p>
      <w:pPr>
        <w:pStyle w:val="Heading2"/>
        <w:spacing w:after="140" w:before="280"/>
      </w:pPr>
      <w:r>
        <w:rPr>
          <w:rFonts w:ascii="Arial" w:cs="Arial" w:eastAsia="Arial" w:hAnsi="Arial"/>
          <w:b/>
          <w:bCs/>
          <w:color w:val="1E293B"/>
          <w:sz w:val="28"/>
          <w:szCs w:val="28"/>
        </w:rPr>
        <w:t xml:space="preserve">Report Observations</w:t>
      </w:r>
    </w:p>
    <w:p>
      <w:pPr>
        <w:pStyle w:val="ListParagraph"/>
        <w:numPr>
          <w:ilvl w:val="0"/>
          <w:numId w:val="2"/>
        </w:numPr>
        <w:spacing w:after="60" w:before="60"/>
      </w:pPr>
      <w:r>
        <w:rPr>
          <w:rFonts w:ascii="Arial" w:cs="Arial" w:eastAsia="Arial" w:hAnsi="Arial"/>
          <w:color w:val="1E293B"/>
          <w:sz w:val="22"/>
          <w:szCs w:val="22"/>
        </w:rPr>
        <w:t xml:space="preserve">February shows the lowest order volume — a consistent seasonal dip</w:t>
      </w:r>
    </w:p>
    <w:p>
      <w:pPr>
        <w:pStyle w:val="ListParagraph"/>
        <w:numPr>
          <w:ilvl w:val="0"/>
          <w:numId w:val="2"/>
        </w:numPr>
        <w:spacing w:after="60" w:before="60"/>
      </w:pPr>
      <w:r>
        <w:rPr>
          <w:rFonts w:ascii="Arial" w:cs="Arial" w:eastAsia="Arial" w:hAnsi="Arial"/>
          <w:color w:val="1E293B"/>
          <w:sz w:val="22"/>
          <w:szCs w:val="22"/>
        </w:rPr>
        <w:t xml:space="preserve">March has the sharpest month-over-month growth spike (~40% increase)</w:t>
      </w:r>
    </w:p>
    <w:p>
      <w:pPr>
        <w:pStyle w:val="ListParagraph"/>
        <w:numPr>
          <w:ilvl w:val="0"/>
          <w:numId w:val="2"/>
        </w:numPr>
        <w:spacing w:after="60" w:before="60"/>
      </w:pPr>
      <w:r>
        <w:rPr>
          <w:rFonts w:ascii="Arial" w:cs="Arial" w:eastAsia="Arial" w:hAnsi="Arial"/>
          <w:color w:val="1E293B"/>
          <w:sz w:val="22"/>
          <w:szCs w:val="22"/>
        </w:rPr>
        <w:t xml:space="preserve">June and July sustain peak order volumes across the year</w:t>
      </w:r>
    </w:p>
    <w:p>
      <w:pPr>
        <w:pStyle w:val="ListParagraph"/>
        <w:numPr>
          <w:ilvl w:val="0"/>
          <w:numId w:val="2"/>
        </w:numPr>
        <w:spacing w:after="60" w:before="60"/>
      </w:pPr>
      <w:r>
        <w:rPr>
          <w:rFonts w:ascii="Arial" w:cs="Arial" w:eastAsia="Arial" w:hAnsi="Arial"/>
          <w:color w:val="1E293B"/>
          <w:sz w:val="22"/>
          <w:szCs w:val="22"/>
        </w:rPr>
        <w:t xml:space="preserve">August shows a notable trough, followed by recovery in September–October</w:t>
      </w:r>
    </w:p>
    <w:p>
      <w:pPr>
        <w:pStyle w:val="ListParagraph"/>
        <w:numPr>
          <w:ilvl w:val="0"/>
          <w:numId w:val="2"/>
        </w:numPr>
        <w:spacing w:after="60" w:before="60"/>
      </w:pPr>
      <w:r>
        <w:rPr>
          <w:rFonts w:ascii="Arial" w:cs="Arial" w:eastAsia="Arial" w:hAnsi="Arial"/>
          <w:color w:val="1E293B"/>
          <w:sz w:val="22"/>
          <w:szCs w:val="22"/>
        </w:rPr>
        <w:t xml:space="preserve">December closes the year with declining volume — expected post-holiday pattern</w:t>
      </w:r>
    </w:p>
    <w:p>
      <w:pPr>
        <w:spacing w:after="0" w:before="120"/>
      </w:pPr>
      <w:r>
        <w:t xml:space="preserve"/>
      </w:r>
    </w:p>
    <w:p>
      <w:pPr>
        <w:pStyle w:val="Heading2"/>
        <w:spacing w:after="140" w:before="280"/>
      </w:pPr>
      <w:r>
        <w:rPr>
          <w:rFonts w:ascii="Arial" w:cs="Arial" w:eastAsia="Arial" w:hAnsi="Arial"/>
          <w:b/>
          <w:bCs/>
          <w:color w:val="1E293B"/>
          <w:sz w:val="28"/>
          <w:szCs w:val="28"/>
        </w:rPr>
        <w:t xml:space="preserve">Data Model (Gold External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pct" w:w="100%"/>
            <w:gridSpan w:val="1"/>
            <w:tcBorders>
              <w:top w:val="single" w:color="CBD5E1" w:sz="1"/>
              <w:left w:val="single" w:color="CBD5E1" w:sz="1"/>
              <w:bottom w:val="single" w:color="CBD5E1" w:sz="1"/>
              <w:right w:val="single" w:color="CBD5E1"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Key Fields Connected</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gold extcalendar</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Date, Month, Year</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gold extcustomer</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CustomerKey, FullName</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gold extproducts</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ProductKey, ProductName, ProductSKU</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gold extproduct_subc.</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ProductSubcategoryKey</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gold extsales</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OrderDate, OrderNumber, OrderLineItem, OrderQuantity, CustomerKey, ProductKey, TerritoryKey, StockDate, multiply</w:t>
            </w:r>
          </w:p>
        </w:tc>
      </w:tr>
      <w:tr>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gold extTerritory</w:t>
            </w:r>
          </w:p>
        </w:tc>
        <w:tc>
          <w:tcPr>
            <w:tcW w:type="pct" w:w="100%"/>
            <w:gridSpan w:val="1"/>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TerritoryKey, Region, Country</w:t>
            </w:r>
          </w:p>
        </w:tc>
      </w:tr>
    </w:tbl>
    <w:p>
      <w:pPr>
        <w:spacing w:after="0" w:before="120"/>
      </w:pPr>
      <w:r>
        <w:t xml:space="preserve"/>
      </w:r>
    </w:p>
    <w:p>
      <w:r>
        <w:br w:type="page"/>
      </w:r>
    </w:p>
    <w:p>
      <w:pPr>
        <w:pStyle w:val="Heading1"/>
        <w:pBdr>
          <w:bottom w:val="single" w:color="1E40AF" w:sz="8" w:space="6"/>
        </w:pBdr>
        <w:spacing w:after="200" w:before="360"/>
      </w:pPr>
      <w:r>
        <w:rPr>
          <w:rFonts w:ascii="Arial" w:cs="Arial" w:eastAsia="Arial" w:hAnsi="Arial"/>
          <w:b/>
          <w:bCs/>
          <w:color w:val="1E40AF"/>
          <w:sz w:val="36"/>
          <w:szCs w:val="36"/>
        </w:rPr>
        <w:t xml:space="preserve">LinkedIn Portfolio Post</w:t>
      </w:r>
    </w:p>
    <w:p>
      <w:pPr>
        <w:spacing w:after="100" w:before="80"/>
      </w:pPr>
      <w:r>
        <w:rPr>
          <w:rFonts w:ascii="Arial" w:cs="Arial" w:eastAsia="Arial" w:hAnsi="Arial"/>
          <w:color w:val="1E293B"/>
          <w:sz w:val="22"/>
          <w:szCs w:val="22"/>
        </w:rPr>
        <w:t xml:space="preserve">Copy the post below to publish on LinkedIn: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B5" w:sz="8"/>
              <w:left w:val="single" w:color="0077B5" w:sz="8"/>
              <w:bottom w:val="single" w:color="0077B5" w:sz="8"/>
              <w:right w:val="single" w:color="0077B5" w:sz="8"/>
            </w:tcBorders>
            <w:shd w:fill="EFF8FF" w:val="clear"/>
            <w:tcMar>
              <w:top w:type="dxa" w:w="200"/>
              <w:left w:type="dxa" w:w="250"/>
              <w:bottom w:type="dxa" w:w="200"/>
              <w:right w:type="dxa" w:w="250"/>
            </w:tcMar>
          </w:tcPr>
          <w:p>
            <w:pPr>
              <w:spacing w:after="120" w:before="0"/>
            </w:pPr>
            <w:r>
              <w:rPr>
                <w:rFonts w:ascii="Arial" w:cs="Arial" w:eastAsia="Arial" w:hAnsi="Arial"/>
                <w:b/>
                <w:bCs/>
                <w:color w:val="0077B5"/>
                <w:sz w:val="24"/>
                <w:szCs w:val="24"/>
              </w:rPr>
              <w:t xml:space="preserve">Excited to share my latest Data Engineering project! 🚀</w:t>
            </w:r>
          </w:p>
          <w:p>
            <w:pPr>
              <w:spacing w:after="160" w:before="0"/>
            </w:pPr>
            <w:r>
              <w:rPr>
                <w:rFonts w:ascii="Arial" w:cs="Arial" w:eastAsia="Arial" w:hAnsi="Arial"/>
                <w:color w:val="1E293B"/>
                <w:sz w:val="22"/>
                <w:szCs w:val="22"/>
              </w:rPr>
              <w:t xml:space="preserve">I built an end-to-end Azure Data Engineering pipeline for AdventureWorks Cycles — ingesting raw sales data, transforming it through a Medallion Architecture, and delivering interactive analytics via Power BI.</w:t>
            </w:r>
          </w:p>
          <w:p>
            <w:pPr>
              <w:spacing w:after="60" w:before="0"/>
            </w:pPr>
            <w:r>
              <w:rPr>
                <w:rFonts w:ascii="Arial" w:cs="Arial" w:eastAsia="Arial" w:hAnsi="Arial"/>
                <w:b/>
                <w:bCs/>
                <w:color w:val="1E293B"/>
                <w:sz w:val="22"/>
                <w:szCs w:val="22"/>
              </w:rPr>
              <w:t xml:space="preserve">Here's what the pipeline does:</w:t>
            </w:r>
          </w:p>
          <w:p>
            <w:pPr>
              <w:spacing w:after="40" w:before="40"/>
            </w:pPr>
            <w:r>
              <w:rPr>
                <w:rFonts w:ascii="Arial" w:cs="Arial" w:eastAsia="Arial" w:hAnsi="Arial"/>
                <w:color w:val="1E293B"/>
                <w:sz w:val="22"/>
                <w:szCs w:val="22"/>
              </w:rPr>
              <w:t xml:space="preserve">📥  Bronze Layer — ADF dynamically copies 10 CSVs from GitHub using a metadata-driven Lookup + ForEach pattern, zero hardcoding</w:t>
            </w:r>
          </w:p>
          <w:p>
            <w:pPr>
              <w:spacing w:after="40" w:before="40"/>
            </w:pPr>
            <w:r>
              <w:rPr>
                <w:rFonts w:ascii="Arial" w:cs="Arial" w:eastAsia="Arial" w:hAnsi="Arial"/>
                <w:color w:val="1E293B"/>
                <w:sz w:val="22"/>
                <w:szCs w:val="22"/>
              </w:rPr>
              <w:t xml:space="preserve">⚙️  Silver Layer — Databricks PySpark cleans and enriches data: derived columns (FullName, Month, Year), type casting, SKU normalization, and order number standardization</w:t>
            </w:r>
          </w:p>
          <w:p>
            <w:pPr>
              <w:spacing w:after="40" w:before="40"/>
            </w:pPr>
            <w:r>
              <w:rPr>
                <w:rFonts w:ascii="Arial" w:cs="Arial" w:eastAsia="Arial" w:hAnsi="Arial"/>
                <w:color w:val="1E293B"/>
                <w:sz w:val="22"/>
                <w:szCs w:val="22"/>
              </w:rPr>
              <w:t xml:space="preserve">🥇  Gold Layer — Synapse Analytics serverless SQL exposes Parquet files as views and materializes an external table (gold.extsales) for Power BI</w:t>
            </w:r>
          </w:p>
          <w:p>
            <w:pPr>
              <w:spacing w:after="160" w:before="40"/>
            </w:pPr>
            <w:r>
              <w:rPr>
                <w:rFonts w:ascii="Arial" w:cs="Arial" w:eastAsia="Arial" w:hAnsi="Arial"/>
                <w:color w:val="1E293B"/>
                <w:sz w:val="22"/>
                <w:szCs w:val="22"/>
              </w:rPr>
              <w:t xml:space="preserve">📊  Power BI — Line chart revealing monthly order patterns: February dip, March spike, peak summer volume, and year-end decline</w:t>
            </w:r>
          </w:p>
          <w:p>
            <w:pPr>
              <w:spacing w:after="120" w:before="0"/>
            </w:pPr>
            <w:r>
              <w:rPr>
                <w:rFonts w:ascii="Arial" w:cs="Arial" w:eastAsia="Arial" w:hAnsi="Arial"/>
                <w:b/>
                <w:bCs/>
                <w:color w:val="1E293B"/>
                <w:sz w:val="22"/>
                <w:szCs w:val="22"/>
              </w:rPr>
              <w:t xml:space="preserve">Tech stack used:</w:t>
            </w:r>
          </w:p>
          <w:p>
            <w:pPr>
              <w:spacing w:after="160" w:before="0"/>
            </w:pPr>
            <w:r>
              <w:rPr>
                <w:rFonts w:ascii="Arial" w:cs="Arial" w:eastAsia="Arial" w:hAnsi="Arial"/>
                <w:color w:val="64748B"/>
                <w:sz w:val="22"/>
                <w:szCs w:val="22"/>
              </w:rPr>
              <w:t xml:space="preserve">Azure Data Factory  •  Azure Data Lake Gen2  •  Azure Databricks (PySpark)  •  Azure Synapse Analytics  •  Power BI  •  GitHub</w:t>
            </w:r>
          </w:p>
          <w:p>
            <w:pPr>
              <w:spacing w:after="120" w:before="0"/>
            </w:pPr>
            <w:r>
              <w:rPr>
                <w:rFonts w:ascii="Arial" w:cs="Arial" w:eastAsia="Arial" w:hAnsi="Arial"/>
                <w:b/>
                <w:bCs/>
                <w:color w:val="1E293B"/>
                <w:sz w:val="22"/>
                <w:szCs w:val="22"/>
              </w:rPr>
              <w:t xml:space="preserve">Key concepts practiced:</w:t>
            </w:r>
          </w:p>
          <w:p>
            <w:pPr>
              <w:spacing w:after="160" w:before="0"/>
            </w:pPr>
            <w:r>
              <w:rPr>
                <w:rFonts w:ascii="Arial" w:cs="Arial" w:eastAsia="Arial" w:hAnsi="Arial"/>
                <w:color w:val="64748B"/>
                <w:sz w:val="22"/>
                <w:szCs w:val="22"/>
              </w:rPr>
              <w:t xml:space="preserve">Medallion Architecture  •  Parameterized pipelines  •  OPENROWSET  •  External tables  •  Managed Identity  •  Database Scoped Credentials  •  Snappy Parquet compression</w:t>
            </w:r>
          </w:p>
          <w:p>
            <w:pPr>
              <w:spacing w:after="80" w:before="0"/>
            </w:pPr>
            <w:r>
              <w:rPr>
                <w:rFonts w:ascii="Arial" w:cs="Arial" w:eastAsia="Arial" w:hAnsi="Arial"/>
                <w:color w:val="1E293B"/>
                <w:sz w:val="22"/>
                <w:szCs w:val="22"/>
              </w:rPr>
              <w:t xml:space="preserve">If you're learning Azure data engineering, the Medallion pattern is a great place to start — it keeps raw data intact, makes transformations testable at each layer, and keeps your BI layer clean.</w:t>
            </w:r>
          </w:p>
          <w:p>
            <w:pPr>
              <w:spacing w:after="0" w:before="120"/>
            </w:pPr>
            <w:r>
              <w:rPr>
                <w:rFonts w:ascii="Arial" w:cs="Arial" w:eastAsia="Arial" w:hAnsi="Arial"/>
                <w:b/>
                <w:bCs/>
                <w:color w:val="0077B5"/>
                <w:sz w:val="20"/>
                <w:szCs w:val="20"/>
              </w:rPr>
              <w:t xml:space="preserve">#Azure #DataEngineering #AzureDataFactory #Databricks #PySpark #Synapse #PowerBI #MedallionArchitecture #DataLake #OpenToWork #Portfolio</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6" w:space="6"/>
      </w:pBdr>
      <w:spacing w:after="0" w:before="100"/>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6"/>
      </w:pBdr>
      <w:spacing w:after="160" w:before="0"/>
    </w:pPr>
    <w:r>
      <w:rPr>
        <w:rFonts w:ascii="Arial" w:cs="Arial" w:eastAsia="Arial" w:hAnsi="Arial"/>
        <w:b/>
        <w:bCs/>
        <w:color w:val="1E40AF"/>
        <w:sz w:val="18"/>
        <w:szCs w:val="18"/>
      </w:rPr>
      <w:t xml:space="preserve">AdventureWorks Azure Data Engineering Project</w:t>
    </w:r>
    <w:r>
      <w:rPr>
        <w:rFonts w:ascii="Arial" w:cs="Arial" w:eastAsia="Arial" w:hAnsi="Arial"/>
        <w:color w:val="64748B"/>
        <w:sz w:val="18"/>
        <w:szCs w:val="18"/>
      </w:rPr>
      <w:t xml:space="preserve">  |  Firoz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A5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2026-05-21T16:41:53.936Z</dcterms:created>
  <dcterms:modified xsi:type="dcterms:W3CDTF">2026-05-21T16:41:53.937Z</dcterms:modified>
</cp:coreProperties>
</file>

<file path=docProps/custom.xml><?xml version="1.0" encoding="utf-8"?>
<Properties xmlns="http://schemas.openxmlformats.org/officeDocument/2006/custom-properties" xmlns:vt="http://schemas.openxmlformats.org/officeDocument/2006/docPropsVTypes"/>
</file>