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hint="default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pStyle w:val="5"/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八．H5缓存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rFonts w:hint="default"/>
          <w:lang w:val="en-US" w:eastAsia="zh-CN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后面查看HTML5-三~</w:t>
      </w:r>
      <w:bookmarkStart w:id="0" w:name="_GoBack"/>
      <w:bookmarkEnd w:id="0"/>
      <w:r>
        <w:rPr>
          <w:rFonts w:hint="eastAsia"/>
          <w:lang w:val="en-US" w:eastAsia="zh-CN"/>
        </w:rPr>
        <w:t>五天笔记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3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6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BD7FB3"/>
    <w:rsid w:val="00F61861"/>
    <w:rsid w:val="01065C80"/>
    <w:rsid w:val="010C3A18"/>
    <w:rsid w:val="014E6F3A"/>
    <w:rsid w:val="01AD1EF4"/>
    <w:rsid w:val="01B508C0"/>
    <w:rsid w:val="01B70A67"/>
    <w:rsid w:val="01BF3289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AF78D6"/>
    <w:rsid w:val="03C03B9E"/>
    <w:rsid w:val="04250618"/>
    <w:rsid w:val="043513F0"/>
    <w:rsid w:val="04A921C2"/>
    <w:rsid w:val="04B96E56"/>
    <w:rsid w:val="04BC13B1"/>
    <w:rsid w:val="04C007CA"/>
    <w:rsid w:val="04F5007E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85A61"/>
    <w:rsid w:val="07F9184A"/>
    <w:rsid w:val="08266C71"/>
    <w:rsid w:val="089E09B5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52578D"/>
    <w:rsid w:val="0ABC2948"/>
    <w:rsid w:val="0AC6255D"/>
    <w:rsid w:val="0ADA05CF"/>
    <w:rsid w:val="0ADA4CEA"/>
    <w:rsid w:val="0B2D4EF5"/>
    <w:rsid w:val="0B634D2A"/>
    <w:rsid w:val="0B7B7BCA"/>
    <w:rsid w:val="0B817B0B"/>
    <w:rsid w:val="0C056394"/>
    <w:rsid w:val="0C3656AC"/>
    <w:rsid w:val="0C591783"/>
    <w:rsid w:val="0C933BDF"/>
    <w:rsid w:val="0C9D6834"/>
    <w:rsid w:val="0CE833EB"/>
    <w:rsid w:val="0CF53D93"/>
    <w:rsid w:val="0D503AC9"/>
    <w:rsid w:val="0D653DA2"/>
    <w:rsid w:val="0D674D0F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5920C3"/>
    <w:rsid w:val="0FAB6703"/>
    <w:rsid w:val="0FBD1351"/>
    <w:rsid w:val="10237F92"/>
    <w:rsid w:val="10257DE9"/>
    <w:rsid w:val="1043445D"/>
    <w:rsid w:val="106A17D0"/>
    <w:rsid w:val="106B27D2"/>
    <w:rsid w:val="1073238A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568CF"/>
    <w:rsid w:val="19EE2DE1"/>
    <w:rsid w:val="19F962BF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D036D39"/>
    <w:rsid w:val="1D070DB9"/>
    <w:rsid w:val="1D324146"/>
    <w:rsid w:val="1D43502B"/>
    <w:rsid w:val="1D7A5DF0"/>
    <w:rsid w:val="1D982127"/>
    <w:rsid w:val="1DA21148"/>
    <w:rsid w:val="1DDD2A5B"/>
    <w:rsid w:val="1E0C4A7A"/>
    <w:rsid w:val="1E6048D6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F16F61"/>
    <w:rsid w:val="1FF5417C"/>
    <w:rsid w:val="1FFF59BC"/>
    <w:rsid w:val="200F68DB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D4616B"/>
    <w:rsid w:val="21EA5FA2"/>
    <w:rsid w:val="21EC103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3107715"/>
    <w:rsid w:val="235A5BFF"/>
    <w:rsid w:val="235E0066"/>
    <w:rsid w:val="2415657A"/>
    <w:rsid w:val="2489737B"/>
    <w:rsid w:val="248D744E"/>
    <w:rsid w:val="24B87B8F"/>
    <w:rsid w:val="24BB0E3A"/>
    <w:rsid w:val="24C768EE"/>
    <w:rsid w:val="24D81B2F"/>
    <w:rsid w:val="24ED3728"/>
    <w:rsid w:val="250A6FD6"/>
    <w:rsid w:val="255C158C"/>
    <w:rsid w:val="25792819"/>
    <w:rsid w:val="25834EA5"/>
    <w:rsid w:val="25EF29FD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A10144F"/>
    <w:rsid w:val="2A622884"/>
    <w:rsid w:val="2A9D0B92"/>
    <w:rsid w:val="2A9E09F6"/>
    <w:rsid w:val="2AA01BC8"/>
    <w:rsid w:val="2AA440D7"/>
    <w:rsid w:val="2ADA5158"/>
    <w:rsid w:val="2B770979"/>
    <w:rsid w:val="2B8C2E6F"/>
    <w:rsid w:val="2B9E0EC5"/>
    <w:rsid w:val="2BA40D3A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7119ED"/>
    <w:rsid w:val="2DC3379D"/>
    <w:rsid w:val="2DD459F8"/>
    <w:rsid w:val="2DEB078B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B93BD6"/>
    <w:rsid w:val="2FC1135A"/>
    <w:rsid w:val="2FE63464"/>
    <w:rsid w:val="2FE83E05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FA0289"/>
    <w:rsid w:val="3332476B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EB7CA2"/>
    <w:rsid w:val="38032F97"/>
    <w:rsid w:val="380A5D6D"/>
    <w:rsid w:val="385D15E3"/>
    <w:rsid w:val="38665AB1"/>
    <w:rsid w:val="387218C5"/>
    <w:rsid w:val="392C0908"/>
    <w:rsid w:val="39626DB3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913AA"/>
    <w:rsid w:val="3D2A180E"/>
    <w:rsid w:val="3D31103D"/>
    <w:rsid w:val="3D353C7C"/>
    <w:rsid w:val="3D3F3289"/>
    <w:rsid w:val="3D5E7DFA"/>
    <w:rsid w:val="3D8C6F18"/>
    <w:rsid w:val="3DAF0FFC"/>
    <w:rsid w:val="3DBE325A"/>
    <w:rsid w:val="3DC350D9"/>
    <w:rsid w:val="3E272182"/>
    <w:rsid w:val="3E41794E"/>
    <w:rsid w:val="3E61237B"/>
    <w:rsid w:val="3EF92329"/>
    <w:rsid w:val="3F1A698E"/>
    <w:rsid w:val="3F663A5C"/>
    <w:rsid w:val="3FCE0ED2"/>
    <w:rsid w:val="40005EC8"/>
    <w:rsid w:val="400F4B4A"/>
    <w:rsid w:val="403D551D"/>
    <w:rsid w:val="40790E6B"/>
    <w:rsid w:val="407A4ACF"/>
    <w:rsid w:val="40BA1103"/>
    <w:rsid w:val="40D277D7"/>
    <w:rsid w:val="40E13C93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53D1CB6"/>
    <w:rsid w:val="45617DE2"/>
    <w:rsid w:val="45AF2C9C"/>
    <w:rsid w:val="45C7514B"/>
    <w:rsid w:val="45F166FD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4115C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D3F7998"/>
    <w:rsid w:val="4D6D59B3"/>
    <w:rsid w:val="4D892BEE"/>
    <w:rsid w:val="4DB32711"/>
    <w:rsid w:val="4DC963F6"/>
    <w:rsid w:val="4DD7262C"/>
    <w:rsid w:val="4E026CFC"/>
    <w:rsid w:val="4E317734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7B1F05"/>
    <w:rsid w:val="508F7481"/>
    <w:rsid w:val="50902B8A"/>
    <w:rsid w:val="50B657DF"/>
    <w:rsid w:val="50BF11E1"/>
    <w:rsid w:val="515871DA"/>
    <w:rsid w:val="516E587A"/>
    <w:rsid w:val="51AE0F7B"/>
    <w:rsid w:val="51C957C3"/>
    <w:rsid w:val="521F416B"/>
    <w:rsid w:val="52461445"/>
    <w:rsid w:val="5285227A"/>
    <w:rsid w:val="52E678C4"/>
    <w:rsid w:val="52F2677A"/>
    <w:rsid w:val="52F60808"/>
    <w:rsid w:val="52FC7723"/>
    <w:rsid w:val="536B5ECB"/>
    <w:rsid w:val="53984AB1"/>
    <w:rsid w:val="53AA203F"/>
    <w:rsid w:val="53BD6A97"/>
    <w:rsid w:val="53C07117"/>
    <w:rsid w:val="546A3CD6"/>
    <w:rsid w:val="54EF17E3"/>
    <w:rsid w:val="553C0000"/>
    <w:rsid w:val="554E68F9"/>
    <w:rsid w:val="55752967"/>
    <w:rsid w:val="55BE7428"/>
    <w:rsid w:val="55D940F8"/>
    <w:rsid w:val="55EA4CEF"/>
    <w:rsid w:val="564F0CAE"/>
    <w:rsid w:val="5659304D"/>
    <w:rsid w:val="567201FE"/>
    <w:rsid w:val="56A07857"/>
    <w:rsid w:val="56AB3511"/>
    <w:rsid w:val="56DF7C42"/>
    <w:rsid w:val="56EE309D"/>
    <w:rsid w:val="570A0E3E"/>
    <w:rsid w:val="57467DF3"/>
    <w:rsid w:val="579B1A66"/>
    <w:rsid w:val="57A07620"/>
    <w:rsid w:val="57C33147"/>
    <w:rsid w:val="57EA6085"/>
    <w:rsid w:val="581F07A7"/>
    <w:rsid w:val="58622C9C"/>
    <w:rsid w:val="588D6FFC"/>
    <w:rsid w:val="589D0286"/>
    <w:rsid w:val="58A61A57"/>
    <w:rsid w:val="58BC3EFE"/>
    <w:rsid w:val="59044236"/>
    <w:rsid w:val="59300555"/>
    <w:rsid w:val="59AE4E52"/>
    <w:rsid w:val="59D307A2"/>
    <w:rsid w:val="59D90DDE"/>
    <w:rsid w:val="5A0F61B8"/>
    <w:rsid w:val="5A394A58"/>
    <w:rsid w:val="5A467E54"/>
    <w:rsid w:val="5A9C5A31"/>
    <w:rsid w:val="5A9E4B73"/>
    <w:rsid w:val="5AD13B43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9141CE"/>
    <w:rsid w:val="5CE73D0F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30095B"/>
    <w:rsid w:val="5F596C89"/>
    <w:rsid w:val="5F733B6C"/>
    <w:rsid w:val="5FCA1B0F"/>
    <w:rsid w:val="5FD05BFF"/>
    <w:rsid w:val="605A6596"/>
    <w:rsid w:val="60745F7B"/>
    <w:rsid w:val="60784510"/>
    <w:rsid w:val="607B618F"/>
    <w:rsid w:val="609C25D8"/>
    <w:rsid w:val="60B6450B"/>
    <w:rsid w:val="611C4422"/>
    <w:rsid w:val="612A0FC5"/>
    <w:rsid w:val="6189165C"/>
    <w:rsid w:val="61BA486D"/>
    <w:rsid w:val="61D572C5"/>
    <w:rsid w:val="623110C8"/>
    <w:rsid w:val="62475387"/>
    <w:rsid w:val="62556C2C"/>
    <w:rsid w:val="62621F8A"/>
    <w:rsid w:val="62857F24"/>
    <w:rsid w:val="62C02C09"/>
    <w:rsid w:val="62C25C62"/>
    <w:rsid w:val="62EF49F8"/>
    <w:rsid w:val="630A7942"/>
    <w:rsid w:val="63181D57"/>
    <w:rsid w:val="631B5040"/>
    <w:rsid w:val="63342DCF"/>
    <w:rsid w:val="634856E7"/>
    <w:rsid w:val="636B62FA"/>
    <w:rsid w:val="63AB3796"/>
    <w:rsid w:val="63D819E2"/>
    <w:rsid w:val="64724C52"/>
    <w:rsid w:val="64837FAE"/>
    <w:rsid w:val="64975EB9"/>
    <w:rsid w:val="64D767B1"/>
    <w:rsid w:val="64EF4568"/>
    <w:rsid w:val="65537957"/>
    <w:rsid w:val="657938F2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5640E"/>
    <w:rsid w:val="68E3795A"/>
    <w:rsid w:val="69243A43"/>
    <w:rsid w:val="694A774E"/>
    <w:rsid w:val="69567D78"/>
    <w:rsid w:val="698922C1"/>
    <w:rsid w:val="698B07C4"/>
    <w:rsid w:val="69974854"/>
    <w:rsid w:val="69A23F71"/>
    <w:rsid w:val="69BB6682"/>
    <w:rsid w:val="69BC2D52"/>
    <w:rsid w:val="69D9574C"/>
    <w:rsid w:val="6A2E64E8"/>
    <w:rsid w:val="6A3D11B3"/>
    <w:rsid w:val="6A864283"/>
    <w:rsid w:val="6AB37A96"/>
    <w:rsid w:val="6ABD7150"/>
    <w:rsid w:val="6AF272DE"/>
    <w:rsid w:val="6B110B9B"/>
    <w:rsid w:val="6B4153E6"/>
    <w:rsid w:val="6B627CF7"/>
    <w:rsid w:val="6B6518B5"/>
    <w:rsid w:val="6B67116E"/>
    <w:rsid w:val="6B902B22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F04C7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707B32BE"/>
    <w:rsid w:val="70815F1D"/>
    <w:rsid w:val="70895574"/>
    <w:rsid w:val="70BA45EC"/>
    <w:rsid w:val="71182A1F"/>
    <w:rsid w:val="712D481E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7A523F"/>
    <w:rsid w:val="739A0230"/>
    <w:rsid w:val="73ED68E9"/>
    <w:rsid w:val="740D1FD7"/>
    <w:rsid w:val="74264896"/>
    <w:rsid w:val="7431655F"/>
    <w:rsid w:val="745E6E19"/>
    <w:rsid w:val="746C5BCE"/>
    <w:rsid w:val="74981789"/>
    <w:rsid w:val="74B340D8"/>
    <w:rsid w:val="74CD16D9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A268B8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C83EFC"/>
    <w:rsid w:val="79D91467"/>
    <w:rsid w:val="79F03E7B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FD4E75"/>
    <w:rsid w:val="7C65164B"/>
    <w:rsid w:val="7C755E3B"/>
    <w:rsid w:val="7CB52D81"/>
    <w:rsid w:val="7CB850D6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Dong</cp:lastModifiedBy>
  <dcterms:modified xsi:type="dcterms:W3CDTF">2019-09-05T12:46:50Z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