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README</w:t>
      </w:r>
    </w:p>
    <w:p>
      <w:r>
        <w:t>AscendPilot-Bio：Qwen3.5 自动迁移优化 Skill 与 riceFM/ZH11 验证场景</w:t>
      </w:r>
    </w:p>
    <w:p>
      <w:pPr>
        <w:pStyle w:val="Heading1"/>
      </w:pPr>
      <w:r>
        <w:t>环境版本</w:t>
      </w:r>
    </w:p>
    <w:p>
      <w:r>
        <w:t>目标镜像：openEuler 24.03 ARM64；硬件：2 x Ascend 910，单卡 64 GB HBM。CANN：9.1.0-beta.3；Python：3.12.13；PyTorch：2.7.1；torch_npu：2.7.1.post10。官方主线为 Qwen3.5-0.8B MindSpeed-MM/FSDP 双卡训练；扩展服务中 Qwen3.5-4B 固定 npu:0，riceFM 固定 npu:1。</w:t>
      </w:r>
    </w:p>
    <w:p>
      <w:pPr>
        <w:pStyle w:val="Heading1"/>
      </w:pPr>
      <w:r>
        <w:t>运行启动脚本</w:t>
      </w:r>
    </w:p>
    <w:p>
      <w:r>
        <w:t>官方训练执行：bash deliverables/qwen35-mindspeed-training/scripts/run_training.sh examples/qwen3_5/qwen3_5_0.8B_config.yaml logs/ascendc；然后用 compare_training_logs.py 对齐 AscendC/Triton 的 step 1-100 日志。扩展服务执行 /opt/start_qwen35.sh，由 supervisor 管理；通过 SSH 隧道访问 127.0.0.1:8000。</w:t>
      </w:r>
    </w:p>
    <w:p>
      <w:pPr>
        <w:pStyle w:val="Heading1"/>
      </w:pPr>
      <w:r>
        <w:t>代码结构说明</w:t>
      </w:r>
    </w:p>
    <w:p>
      <w:r>
        <w:t>deliverables/qwen35-mindspeed-training/：官方主 Skill 和双卡训练入口；deliverables/qwen35-ascend-migration/：环境检查、策略选择与迁移报告；deliverables/plantcell-skill/：扩展场景 Skill；deliverables/scripts/：训练日志比较、ZH11 评测、压测和 Agent 验收；deliverables/results/：训练、迁移、性能与精度原始证据。</w:t>
      </w:r>
    </w:p>
    <w:p>
      <w:pPr>
        <w:pStyle w:val="Heading1"/>
      </w:pPr>
      <w:r>
        <w:t>代码逻辑</w:t>
      </w:r>
    </w:p>
    <w:p>
      <w:r>
        <w:t>请求进入 Qwen JSON Planner，经过工具白名单过滤后调用矩阵校验、riceFM 注释、ZH11 指标或报告生成工具；Evidence Store 保存 E0 计划、E1 注释、E2 指标；Verifier 校验证据引用和 unsupported gene symbol，并在失败时自动重写一次；缺少 genes/counts 时返回 input_required。</w:t>
      </w:r>
    </w:p>
    <w:p>
      <w:pPr>
        <w:pStyle w:val="Heading1"/>
      </w:pPr>
      <w:r>
        <w:t>可复现实测</w:t>
      </w:r>
    </w:p>
    <w:p>
      <w:r>
        <w:t>官方双芯片训练：AscendC 2.716775 samples/s、Triton 2.341653 samples/s，全流程提升 16.02%；loss 平均绝对差 0.000884。扩展场景：12 题 grounding A/B 已完成；Qwen P95 3.247 s、19.86 tok/s；riceFM P95 9.98 ms，批量吞吐 206.45 cells/s；Agent 5/5 通过。</w:t>
      </w:r>
    </w:p>
    <w:p>
      <w:pPr>
        <w:pStyle w:val="Heading1"/>
      </w:pPr>
      <w:r>
        <w:t>PR链接</w:t>
      </w:r>
    </w:p>
    <w:p>
      <w:r>
        <w:t>当前代码尚未推送到用户指定的公开仓库，因此不能填写真实 PR 地址。提交前请将仓库地址和 PR URL 替换本节占位内容；不得使用虚构链接。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