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0F426E" w14:textId="7AE0C856" w:rsidR="00E7646F" w:rsidRDefault="002E3699" w:rsidP="44188C31">
      <w:pPr>
        <w:pStyle w:val="CompanyName"/>
        <w:jc w:val="right"/>
      </w:pPr>
      <w:r>
        <w:rPr>
          <w:noProof/>
        </w:rPr>
        <w:drawing>
          <wp:inline distT="0" distB="0" distL="0" distR="0" wp14:anchorId="253A7C0B" wp14:editId="162B3979">
            <wp:extent cx="1892300" cy="1358900"/>
            <wp:effectExtent l="0" t="0" r="12700" b="12700"/>
            <wp:docPr id="2" name="Picture 1" descr="Description: Swansea University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892300" cy="1358900"/>
                    </a:xfrm>
                    <a:prstGeom prst="rect">
                      <a:avLst/>
                    </a:prstGeom>
                  </pic:spPr>
                </pic:pic>
              </a:graphicData>
            </a:graphic>
          </wp:inline>
        </w:drawing>
      </w:r>
      <w:r w:rsidR="00546054">
        <w:t xml:space="preserve"> </w:t>
      </w:r>
      <w:r>
        <w:br/>
      </w:r>
      <w:r w:rsidR="71CCA85B">
        <w:t xml:space="preserve">Faculty of Science and </w:t>
      </w:r>
      <w:r w:rsidR="00E7646F">
        <w:t>Engineering</w:t>
      </w:r>
    </w:p>
    <w:p w14:paraId="5D190896" w14:textId="77777777" w:rsidR="006A7D15" w:rsidRDefault="006A7D15">
      <w:pPr>
        <w:pStyle w:val="CompanyName"/>
      </w:pPr>
    </w:p>
    <w:p w14:paraId="29E06D9C" w14:textId="77777777" w:rsidR="006A7D15" w:rsidRDefault="006A7D15">
      <w:pPr>
        <w:pStyle w:val="CompanyName"/>
      </w:pPr>
    </w:p>
    <w:p w14:paraId="5C74599D" w14:textId="08F83D00" w:rsidR="00B620A0" w:rsidRPr="00165A13" w:rsidRDefault="00E7646F" w:rsidP="006A7D15">
      <w:pPr>
        <w:pStyle w:val="CompanyName"/>
        <w:rPr>
          <w:sz w:val="48"/>
          <w:szCs w:val="48"/>
        </w:rPr>
      </w:pPr>
      <w:r w:rsidRPr="00165A13">
        <w:rPr>
          <w:sz w:val="48"/>
          <w:szCs w:val="48"/>
        </w:rPr>
        <w:t xml:space="preserve">EG-353 </w:t>
      </w:r>
      <w:r w:rsidR="006212A2" w:rsidRPr="00165A13">
        <w:rPr>
          <w:sz w:val="48"/>
          <w:szCs w:val="48"/>
        </w:rPr>
        <w:t xml:space="preserve">Individual Engineering </w:t>
      </w:r>
      <w:r w:rsidRPr="00165A13">
        <w:rPr>
          <w:sz w:val="48"/>
          <w:szCs w:val="48"/>
        </w:rPr>
        <w:t>Project</w:t>
      </w:r>
    </w:p>
    <w:p w14:paraId="246B37FD" w14:textId="77777777" w:rsidR="006A7D15" w:rsidRPr="00165A13" w:rsidRDefault="006A7D15" w:rsidP="006A7D15">
      <w:pPr>
        <w:pStyle w:val="CompanyName"/>
        <w:rPr>
          <w:sz w:val="48"/>
          <w:szCs w:val="48"/>
        </w:rPr>
      </w:pPr>
    </w:p>
    <w:p w14:paraId="769ECC33" w14:textId="227CC76F" w:rsidR="00E7646F" w:rsidRPr="00165A13" w:rsidRDefault="00BD5C8D" w:rsidP="44188C31">
      <w:pPr>
        <w:pStyle w:val="CompanyName"/>
        <w:rPr>
          <w:sz w:val="48"/>
          <w:szCs w:val="48"/>
        </w:rPr>
      </w:pPr>
      <w:r w:rsidRPr="00165A13">
        <w:rPr>
          <w:sz w:val="48"/>
          <w:szCs w:val="48"/>
        </w:rPr>
        <w:t>Session 20</w:t>
      </w:r>
      <w:r w:rsidR="3D615386" w:rsidRPr="00165A13">
        <w:rPr>
          <w:sz w:val="48"/>
          <w:szCs w:val="48"/>
        </w:rPr>
        <w:t>2</w:t>
      </w:r>
      <w:r w:rsidR="0068587E" w:rsidRPr="00165A13">
        <w:rPr>
          <w:sz w:val="48"/>
          <w:szCs w:val="48"/>
        </w:rPr>
        <w:t>6</w:t>
      </w:r>
      <w:r w:rsidR="00B25B29" w:rsidRPr="00165A13">
        <w:rPr>
          <w:sz w:val="48"/>
          <w:szCs w:val="48"/>
        </w:rPr>
        <w:t>/</w:t>
      </w:r>
      <w:r w:rsidR="00EB7BA8" w:rsidRPr="00165A13">
        <w:rPr>
          <w:sz w:val="48"/>
          <w:szCs w:val="48"/>
        </w:rPr>
        <w:t>2</w:t>
      </w:r>
      <w:r w:rsidR="0068587E" w:rsidRPr="00165A13">
        <w:rPr>
          <w:sz w:val="48"/>
          <w:szCs w:val="48"/>
        </w:rPr>
        <w:t>7</w:t>
      </w:r>
    </w:p>
    <w:p w14:paraId="21D9B28B" w14:textId="77777777" w:rsidR="006A7D15" w:rsidRDefault="006A7D15" w:rsidP="006A7D15">
      <w:pPr>
        <w:pStyle w:val="CompanyName"/>
        <w:rPr>
          <w:sz w:val="48"/>
        </w:rPr>
      </w:pPr>
    </w:p>
    <w:p w14:paraId="4AB98E58" w14:textId="77777777" w:rsidR="006A7D15" w:rsidRDefault="006A7D15" w:rsidP="006A7D15">
      <w:pPr>
        <w:pStyle w:val="CompanyName"/>
        <w:rPr>
          <w:sz w:val="48"/>
        </w:rPr>
      </w:pPr>
    </w:p>
    <w:p w14:paraId="450CBD82" w14:textId="52D388A3" w:rsidR="00E7646F" w:rsidRPr="00165A13" w:rsidRDefault="0068587E" w:rsidP="006A7D15">
      <w:pPr>
        <w:pStyle w:val="Title"/>
        <w:spacing w:before="0"/>
        <w:rPr>
          <w:szCs w:val="60"/>
        </w:rPr>
      </w:pPr>
      <w:r w:rsidRPr="00165A13">
        <w:rPr>
          <w:szCs w:val="60"/>
        </w:rPr>
        <w:t>Project Outline &amp; Initial Plan</w:t>
      </w:r>
    </w:p>
    <w:p w14:paraId="2EC6F86A" w14:textId="77777777" w:rsidR="002E7E45" w:rsidRDefault="002E7E45" w:rsidP="006A7D15">
      <w:pPr>
        <w:spacing w:before="0" w:after="360" w:line="240" w:lineRule="auto"/>
      </w:pPr>
      <w:r>
        <w:rPr>
          <w:rFonts w:ascii="Arial" w:hAnsi="Arial"/>
          <w:sz w:val="32"/>
          <w:color w:val="000000"/>
        </w:rPr>
        <w:t>Robotic Arm Control Through Deep Learning</w:t>
        <w:br/>
        <w:t>A Study on Predictive Modeling of Joint Angles with Kuka Robotic Arm</w:t>
      </w:r>
    </w:p>
    <w:p w14:paraId="611C1BF7" w14:textId="77777777" w:rsidR="002E7E45" w:rsidRDefault="002E7E45" w:rsidP="002E7E45">
      <w:pPr>
        <w:spacing w:before="0" w:after="240" w:line="240" w:lineRule="auto"/>
      </w:pPr>
      <w:r>
        <w:rPr>
          <w:rFonts w:ascii="Arial" w:hAnsi="Arial"/>
          <w:sz w:val="28"/>
          <w:color w:val="000000"/>
        </w:rPr>
        <w:t>Yifeng Du</w:t>
        <w:br/>
        <w:t>2634068</w:t>
      </w:r>
    </w:p>
    <w:p w14:paraId="0E69AEE5" w14:textId="77777777" w:rsidR="002E7E45" w:rsidRDefault="002E7E45" w:rsidP="002E7E45">
      <w:pPr>
        <w:spacing w:before="0" w:after="120" w:line="240" w:lineRule="auto"/>
      </w:pPr>
      <w:r>
        <w:rPr>
          <w:rFonts w:ascii="Arial" w:hAnsi="Arial"/>
          <w:sz w:val="24"/>
          <w:color w:val="000000"/>
        </w:rPr>
        <w:t>Dr Ashraf A. Fahmy, PhD, FHEA</w:t>
      </w:r>
    </w:p>
    <w:p w14:paraId="0939A1FF" w14:textId="57B8C74A" w:rsidR="00385C93" w:rsidRPr="002E7E45" w:rsidRDefault="00385C93" w:rsidP="002E7E45">
      <w:pPr>
        <w:jc w:val="both"/>
        <w:spacing w:before="0" w:after="240" w:line="240" w:lineRule="auto"/>
        <w:pageBreakBefore/>
        <w:keepNext/>
      </w:pPr>
      <w:r>
        <w:rPr>
          <w:rFonts w:ascii="Arial" w:hAnsi="Arial"/>
          <w:sz w:val="36"/>
          <w:color w:val="000000"/>
          <w:b/>
        </w:rPr>
        <w:t>Targets</w:t>
      </w:r>
    </w:p>
    <w:p w14:paraId="2DD0D4CF" w14:textId="6CFDF811" w:rsidR="00E7646F" w:rsidRPr="006B5137" w:rsidRDefault="00E55178" w:rsidP="002E7E45">
      <w:pPr>
        <w:jc w:val="both"/>
        <w:spacing w:before="0" w:after="80" w:line="240" w:lineRule="auto"/>
      </w:pPr>
      <w:r>
        <w:rPr>
          <w:rFonts w:ascii="Arial" w:hAnsi="Arial"/>
          <w:sz w:val="22"/>
          <w:color w:val="000000"/>
        </w:rPr>
        <w:t>1. Validate a seven-axis KUKA LBR iiwa 14 R820 model in CoppeliaSim, with documented joint limits, base frame and end-effector frame.</w:t>
      </w:r>
    </w:p>
    <w:p w14:paraId="2DD0D4CF" w14:textId="6CFDF811" w:rsidR="00E7646F" w:rsidRPr="006B5137" w:rsidRDefault="00E55178" w:rsidP="002E7E45">
      <w:pPr>
        <w:jc w:val="both"/>
        <w:spacing w:before="0" w:after="80" w:line="240" w:lineRule="auto"/>
      </w:pPr>
      <w:r>
        <w:rPr>
          <w:rFonts w:ascii="Arial" w:hAnsi="Arial"/>
          <w:sz w:val="22"/>
          <w:color w:val="000000"/>
        </w:rPr>
        <w:t>2. Prepare a reproducible dataset of at least 10,000 joint configurations and corresponding poses, with separate training and validation subsets.</w:t>
      </w:r>
    </w:p>
    <w:p w14:paraId="2DD0D4CF" w14:textId="6CFDF811" w:rsidR="00E7646F" w:rsidRPr="006B5137" w:rsidRDefault="00E55178" w:rsidP="002E7E45">
      <w:pPr>
        <w:jc w:val="both"/>
        <w:spacing w:before="0" w:after="80" w:line="240" w:lineRule="auto"/>
      </w:pPr>
      <w:r>
        <w:rPr>
          <w:rFonts w:ascii="Arial" w:hAnsi="Arial"/>
          <w:sz w:val="22"/>
          <w:color w:val="000000"/>
        </w:rPr>
        <w:t>3. Develop and compare a neural network predictor, numerical inverse kinematics and a combined network plus numerical refinement method.</w:t>
      </w:r>
    </w:p>
    <w:p w14:paraId="2DD0D4CF" w14:textId="6CFDF811" w:rsidR="00E7646F" w:rsidRPr="006B5137" w:rsidRDefault="00E55178" w:rsidP="002E7E45">
      <w:pPr>
        <w:jc w:val="both"/>
        <w:spacing w:before="0" w:after="80" w:line="240" w:lineRule="auto"/>
      </w:pPr>
      <w:r>
        <w:rPr>
          <w:rFonts w:ascii="Arial" w:hAnsi="Arial"/>
          <w:sz w:val="22"/>
          <w:color w:val="000000"/>
        </w:rPr>
        <w:t>4. Aim for a three-dimensional end-effector position error of no more than 1 mm for every target in a frozen set of 1,000 new reachable test poses, with no joint-limit violations; record every failure.</w:t>
      </w:r>
    </w:p>
    <w:p w14:paraId="2DD0D4CF" w14:textId="6CFDF811" w:rsidR="00E7646F" w:rsidRPr="006B5137" w:rsidRDefault="00E55178" w:rsidP="002E7E45">
      <w:pPr>
        <w:jc w:val="both"/>
        <w:spacing w:before="0" w:after="80" w:line="240" w:lineRule="auto"/>
      </w:pPr>
      <w:r>
        <w:rPr>
          <w:rFonts w:ascii="Arial" w:hAnsi="Arial"/>
          <w:sz w:val="22"/>
          <w:color w:val="000000"/>
        </w:rPr>
        <w:t>5. Quantify the contribution of the neural network using position and orientation errors, success rates and total solution time, and produce a reproducible final report.</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Introduction</w:t>
      </w:r>
    </w:p>
    <w:p w14:paraId="2DD0D4CF" w14:textId="6CFDF811" w:rsidR="00E7646F" w:rsidRPr="006B5137" w:rsidRDefault="00E55178" w:rsidP="002E7E45">
      <w:pPr>
        <w:jc w:val="both"/>
        <w:spacing w:before="0" w:after="100" w:line="240" w:lineRule="auto"/>
      </w:pPr>
      <w:r>
        <w:rPr>
          <w:rFonts w:ascii="Arial" w:hAnsi="Arial"/>
          <w:sz w:val="21"/>
          <w:color w:val="000000"/>
        </w:rPr>
        <w:t>This project investigates deep learning for predicting the joint angles of a KUKA LBR iiwa 14 R820 robotic arm from a desired end-effector pose. The immediate aim is to develop and evaluate an inverse kinematics method in CoppeliaSim that combines a neural network prediction with numerical correction. This provides a practical basis for later motion control studies while keeping the initial investigation focused on static positioning.</w:t>
      </w:r>
    </w:p>
    <w:p w14:paraId="2DD0D4CF" w14:textId="6CFDF811" w:rsidR="00E7646F" w:rsidRPr="006B5137" w:rsidRDefault="00E55178" w:rsidP="002E7E45">
      <w:pPr>
        <w:jc w:val="both"/>
        <w:spacing w:before="0" w:after="100" w:line="240" w:lineRule="auto"/>
      </w:pPr>
      <w:r>
        <w:rPr>
          <w:rFonts w:ascii="Arial" w:hAnsi="Arial"/>
          <w:sz w:val="21"/>
          <w:color w:val="000000"/>
        </w:rPr>
        <w:t>Inverse kinematics maps a desired position and orientation to a suitable joint configuration. For a redundant seven-axis arm, several configurations may achieve the same pose, making direct regression challenging. Robot kinematics provides the geometric basis for checking predicted solutions [1]. Previous work has combined neural network estimates with numerical error minimisation for six-axis robots [2]; this motivates investigating a related approach on the selected KUKA model without assuming that the published accuracy will transfer.</w:t>
      </w:r>
    </w:p>
    <w:p w14:paraId="2DD0D4CF" w14:textId="6CFDF811" w:rsidR="00E7646F" w:rsidRPr="006B5137" w:rsidRDefault="00E55178" w:rsidP="002E7E45">
      <w:pPr>
        <w:jc w:val="both"/>
        <w:spacing w:before="0" w:after="100" w:line="240" w:lineRule="auto"/>
      </w:pPr>
      <w:r>
        <w:rPr>
          <w:rFonts w:ascii="Arial" w:hAnsi="Arial"/>
          <w:sz w:val="21"/>
          <w:color w:val="000000"/>
        </w:rPr>
        <w:t>Joint configurations and corresponding poses will be collected using forward kinematics. A multilayer perceptron will predict candidate joint angles, which will then initialise a numerical inverse kinematics solver. Pure network predictions and a numerical solver using predefined initial configurations will provide comparison baselines. All methods will use consistent coordinate frames, joint limits and evaluation rules.</w:t>
      </w:r>
    </w:p>
    <w:p w14:paraId="2DD0D4CF" w14:textId="6CFDF811" w:rsidR="00E7646F" w:rsidRPr="006B5137" w:rsidRDefault="00E55178" w:rsidP="002E7E45">
      <w:pPr>
        <w:jc w:val="both"/>
        <w:spacing w:before="0" w:after="100" w:line="240" w:lineRule="auto"/>
      </w:pPr>
      <w:r>
        <w:rPr>
          <w:rFonts w:ascii="Arial" w:hAnsi="Arial"/>
          <w:sz w:val="21"/>
          <w:color w:val="000000"/>
        </w:rPr>
        <w:t>The main accuracy target is a three-dimensional position error of at most 1 mm for every target in a new, fixed test set. Orientation error, failed solutions, joint-limit compliance and total computation time will also be reported. Testing will determine whether the network improves convergence or efficiency. Collision avoidance, dynamic torque control and physical robot experiments remain possible later extensions rather than initial deliverables.</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Key References</w:t>
      </w:r>
    </w:p>
    <w:p w14:paraId="2DD0D4CF" w14:textId="6CFDF811" w:rsidR="00E7646F" w:rsidRPr="006B5137" w:rsidRDefault="00E55178" w:rsidP="002E7E45">
      <w:pPr>
        <w:jc w:val="both"/>
        <w:spacing w:before="0" w:after="80" w:line="240" w:lineRule="auto"/>
      </w:pPr>
      <w:r>
        <w:rPr>
          <w:rFonts w:ascii="Arial" w:hAnsi="Arial"/>
          <w:sz w:val="20"/>
          <w:color w:val="000000"/>
        </w:rPr>
        <w:t>[1] Craig JJ. Introduction to robotics: mechanics and control. 3rd ed. Upper Saddle River (NJ): Pearson Prentice Hall; 2005.</w:t>
      </w:r>
    </w:p>
    <w:p w14:paraId="2DD0D4CF" w14:textId="6CFDF811" w:rsidR="00E7646F" w:rsidRPr="006B5137" w:rsidRDefault="00E55178" w:rsidP="002E7E45">
      <w:pPr>
        <w:jc w:val="both"/>
        <w:spacing w:before="0" w:after="120" w:line="240" w:lineRule="auto"/>
      </w:pPr>
      <w:r>
        <w:rPr>
          <w:rFonts w:ascii="Arial" w:hAnsi="Arial"/>
          <w:sz w:val="20"/>
          <w:color w:val="000000"/>
        </w:rPr>
        <w:t>[2] Lu J, Zou T, Jiang X. A neural network based approach to inverse kinematics problem for general six-axis robots. Sensors. 2022;22(22):8909. doi:10.3390/s22228909.</w:t>
      </w:r>
    </w:p>
    <w:p w14:paraId="0939A1FF" w14:textId="57B8C74A" w:rsidR="00385C93" w:rsidRPr="002E7E45" w:rsidRDefault="00385C93" w:rsidP="002E7E45">
      <w:pPr>
        <w:jc w:val="both"/>
        <w:spacing w:before="0" w:after="240" w:line="240" w:lineRule="auto"/>
        <w:pageBreakBefore/>
        <w:keepNext/>
      </w:pPr>
      <w:r>
        <w:rPr>
          <w:rFonts w:ascii="Arial" w:hAnsi="Arial"/>
          <w:sz w:val="36"/>
          <w:color w:val="000000"/>
          <w:b/>
        </w:rPr>
        <w:t>Main tasks</w:t>
      </w:r>
    </w:p>
    <w:p w14:paraId="2DD0D4CF" w14:textId="6CFDF811" w:rsidR="00E7646F" w:rsidRPr="006B5137" w:rsidRDefault="00E55178" w:rsidP="002E7E45">
      <w:pPr>
        <w:jc w:val="both"/>
        <w:spacing w:before="0" w:after="120" w:line="240" w:lineRule="auto"/>
      </w:pPr>
      <w:r>
        <w:rPr>
          <w:rFonts w:ascii="Arial" w:hAnsi="Arial"/>
          <w:sz w:val="22"/>
          <w:color w:val="000000"/>
        </w:rPr>
        <w:t>T1.  Review robot kinematics, neural network inverse kinematics and numerical refinement; define scope and evaluation criteria.</w:t>
      </w:r>
    </w:p>
    <w:p w14:paraId="2DD0D4CF" w14:textId="6CFDF811" w:rsidR="00E7646F" w:rsidRPr="006B5137" w:rsidRDefault="00E55178" w:rsidP="002E7E45">
      <w:pPr>
        <w:jc w:val="both"/>
        <w:spacing w:before="0" w:after="120" w:line="240" w:lineRule="auto"/>
      </w:pPr>
      <w:r>
        <w:rPr>
          <w:rFonts w:ascii="Arial" w:hAnsi="Arial"/>
          <w:sz w:val="22"/>
          <w:color w:val="000000"/>
        </w:rPr>
        <w:t>T2.  Complete project planning, ethics screening and supervisor-reviewed health and safety documentation.</w:t>
      </w:r>
    </w:p>
    <w:p w14:paraId="2DD0D4CF" w14:textId="6CFDF811" w:rsidR="00E7646F" w:rsidRPr="006B5137" w:rsidRDefault="00E55178" w:rsidP="002E7E45">
      <w:pPr>
        <w:jc w:val="both"/>
        <w:spacing w:before="0" w:after="120" w:line="240" w:lineRule="auto"/>
      </w:pPr>
      <w:r>
        <w:rPr>
          <w:rFonts w:ascii="Arial" w:hAnsi="Arial"/>
          <w:sz w:val="22"/>
          <w:color w:val="000000"/>
        </w:rPr>
        <w:t>T3.  Validate the KUKA simulation model, coordinate frames, joint order and limits; check forward kinematics consistency.</w:t>
      </w:r>
    </w:p>
    <w:p w14:paraId="2DD0D4CF" w14:textId="6CFDF811" w:rsidR="00E7646F" w:rsidRPr="006B5137" w:rsidRDefault="00E55178" w:rsidP="002E7E45">
      <w:pPr>
        <w:jc w:val="both"/>
        <w:spacing w:before="0" w:after="120" w:line="240" w:lineRule="auto"/>
      </w:pPr>
      <w:r>
        <w:rPr>
          <w:rFonts w:ascii="Arial" w:hAnsi="Arial"/>
          <w:sz w:val="22"/>
          <w:color w:val="000000"/>
        </w:rPr>
        <w:t>T4.  Collect and audit pose–joint data; prepare training and validation splits and freeze the independent test-generation procedure.</w:t>
      </w:r>
    </w:p>
    <w:p w14:paraId="2DD0D4CF" w14:textId="6CFDF811" w:rsidR="00E7646F" w:rsidRPr="006B5137" w:rsidRDefault="00E55178" w:rsidP="002E7E45">
      <w:pPr>
        <w:jc w:val="both"/>
        <w:spacing w:before="0" w:after="120" w:line="240" w:lineRule="auto"/>
      </w:pPr>
      <w:r>
        <w:rPr>
          <w:rFonts w:ascii="Arial" w:hAnsi="Arial"/>
          <w:sz w:val="22"/>
          <w:color w:val="000000"/>
        </w:rPr>
        <w:t>T5.  Implement a numerical inverse kinematics baseline with fixed retry limits and explicit failure reporting.</w:t>
      </w:r>
    </w:p>
    <w:p w14:paraId="2DD0D4CF" w14:textId="6CFDF811" w:rsidR="00E7646F" w:rsidRPr="006B5137" w:rsidRDefault="00E55178" w:rsidP="002E7E45">
      <w:pPr>
        <w:jc w:val="both"/>
        <w:spacing w:before="0" w:after="120" w:line="240" w:lineRule="auto"/>
      </w:pPr>
      <w:r>
        <w:rPr>
          <w:rFonts w:ascii="Arial" w:hAnsi="Arial"/>
          <w:sz w:val="22"/>
          <w:color w:val="000000"/>
        </w:rPr>
        <w:t>T6.  Train the neural network and integrate numerical refinement; select settings using validation data only.</w:t>
      </w:r>
    </w:p>
    <w:p w14:paraId="2DD0D4CF" w14:textId="6CFDF811" w:rsidR="00E7646F" w:rsidRPr="006B5137" w:rsidRDefault="00E55178" w:rsidP="002E7E45">
      <w:pPr>
        <w:jc w:val="both"/>
        <w:spacing w:before="0" w:after="120" w:line="240" w:lineRule="auto"/>
      </w:pPr>
      <w:r>
        <w:rPr>
          <w:rFonts w:ascii="Arial" w:hAnsi="Arial"/>
          <w:sz w:val="22"/>
          <w:color w:val="000000"/>
        </w:rPr>
        <w:t>T7.  Freeze all methods, generate the independent test set and compare accuracy, success rate, runtime and difficult configurations.</w:t>
      </w:r>
    </w:p>
    <w:p w14:paraId="2DD0D4CF" w14:textId="6CFDF811" w:rsidR="00E7646F" w:rsidRPr="006B5137" w:rsidRDefault="00E55178" w:rsidP="002E7E45">
      <w:pPr>
        <w:jc w:val="both"/>
        <w:spacing w:before="0" w:after="120" w:line="240" w:lineRule="auto"/>
      </w:pPr>
      <w:r>
        <w:rPr>
          <w:rFonts w:ascii="Arial" w:hAnsi="Arial"/>
          <w:sz w:val="22"/>
          <w:color w:val="000000"/>
        </w:rPr>
        <w:t>T8.  Analyse limitations, maintain project records and prepare the progress report, final paper and viva presentation.</w:t>
      </w:r>
    </w:p>
    <w:p w14:paraId="0939A1FF" w14:textId="57B8C74A" w:rsidR="00385C93" w:rsidRPr="002E7E45" w:rsidRDefault="00385C93" w:rsidP="002E7E45">
      <w:pPr>
        <w:jc w:val="both"/>
        <w:spacing w:before="0" w:after="240" w:line="240" w:lineRule="auto"/>
        <w:keepNext/>
      </w:pPr>
      <w:r>
        <w:rPr>
          <w:rFonts w:ascii="Arial" w:hAnsi="Arial"/>
          <w:sz w:val="36"/>
          <w:color w:val="000000"/>
          <w:b/>
        </w:rPr>
        <w:t>Milestones</w:t>
      </w:r>
    </w:p>
    <w:p w14:paraId="2DD0D4CF" w14:textId="6CFDF811" w:rsidR="00E7646F" w:rsidRPr="006B5137" w:rsidRDefault="00E55178" w:rsidP="002E7E45">
      <w:pPr>
        <w:jc w:val="both"/>
        <w:spacing w:before="0" w:after="100" w:line="240" w:lineRule="auto"/>
      </w:pPr>
      <w:r>
        <w:rPr>
          <w:rFonts w:ascii="Arial" w:hAnsi="Arial"/>
          <w:sz w:val="22"/>
          <w:color w:val="000000"/>
        </w:rPr>
        <w:t>M1.  Project Outline and Initial Plan, including Gantt chart — October 2026.</w:t>
      </w:r>
    </w:p>
    <w:p w14:paraId="2DD0D4CF" w14:textId="6CFDF811" w:rsidR="00E7646F" w:rsidRPr="006B5137" w:rsidRDefault="00E55178" w:rsidP="002E7E45">
      <w:pPr>
        <w:jc w:val="both"/>
        <w:spacing w:before="0" w:after="100" w:line="240" w:lineRule="auto"/>
      </w:pPr>
      <w:r>
        <w:rPr>
          <w:rFonts w:ascii="Arial" w:hAnsi="Arial"/>
          <w:sz w:val="22"/>
          <w:color w:val="000000"/>
        </w:rPr>
        <w:t>M2.  Ethics report and risk assessment prepared for supervisor review — November 2026.</w:t>
      </w:r>
    </w:p>
    <w:p w14:paraId="2DD0D4CF" w14:textId="6CFDF811" w:rsidR="00E7646F" w:rsidRPr="006B5137" w:rsidRDefault="00E55178" w:rsidP="002E7E45">
      <w:pPr>
        <w:jc w:val="both"/>
        <w:spacing w:before="0" w:after="100" w:line="240" w:lineRule="auto"/>
      </w:pPr>
      <w:r>
        <w:rPr>
          <w:rFonts w:ascii="Arial" w:hAnsi="Arial"/>
          <w:sz w:val="22"/>
          <w:color w:val="000000"/>
        </w:rPr>
        <w:t>M3.  Validated KUKA model and audited dataset — November 2026.</w:t>
      </w:r>
    </w:p>
    <w:p w14:paraId="2DD0D4CF" w14:textId="6CFDF811" w:rsidR="00E7646F" w:rsidRPr="006B5137" w:rsidRDefault="00E55178" w:rsidP="002E7E45">
      <w:pPr>
        <w:jc w:val="both"/>
        <w:spacing w:before="0" w:after="100" w:line="240" w:lineRule="auto"/>
      </w:pPr>
      <w:r>
        <w:rPr>
          <w:rFonts w:ascii="Arial" w:hAnsi="Arial"/>
          <w:sz w:val="22"/>
          <w:color w:val="000000"/>
        </w:rPr>
        <w:t>M4.  Numerical inverse kinematics baseline and evaluation scripts — December 2026.</w:t>
      </w:r>
    </w:p>
    <w:p w14:paraId="2DD0D4CF" w14:textId="6CFDF811" w:rsidR="00E7646F" w:rsidRPr="006B5137" w:rsidRDefault="00E55178" w:rsidP="002E7E45">
      <w:pPr>
        <w:jc w:val="both"/>
        <w:spacing w:before="0" w:after="100" w:line="240" w:lineRule="auto"/>
      </w:pPr>
      <w:r>
        <w:rPr>
          <w:rFonts w:ascii="Arial" w:hAnsi="Arial"/>
          <w:sz w:val="22"/>
          <w:color w:val="000000"/>
        </w:rPr>
        <w:t>M5.  Progress report, revised Gantt chart and initial network results — February 2027.</w:t>
      </w:r>
    </w:p>
    <w:p w14:paraId="2DD0D4CF" w14:textId="6CFDF811" w:rsidR="00E7646F" w:rsidRPr="006B5137" w:rsidRDefault="00E55178" w:rsidP="002E7E45">
      <w:pPr>
        <w:jc w:val="both"/>
        <w:spacing w:before="0" w:after="100" w:line="240" w:lineRule="auto"/>
      </w:pPr>
      <w:r>
        <w:rPr>
          <w:rFonts w:ascii="Arial" w:hAnsi="Arial"/>
          <w:sz w:val="22"/>
          <w:color w:val="000000"/>
        </w:rPr>
        <w:t>M6.  Integrated method and independent comparative testing completed — March 2027.</w:t>
      </w:r>
    </w:p>
    <w:p w14:paraId="2DD0D4CF" w14:textId="6CFDF811" w:rsidR="00E7646F" w:rsidRPr="006B5137" w:rsidRDefault="00E55178" w:rsidP="002E7E45">
      <w:pPr>
        <w:jc w:val="both"/>
        <w:spacing w:before="0" w:after="100" w:line="240" w:lineRule="auto"/>
      </w:pPr>
      <w:r>
        <w:rPr>
          <w:rFonts w:ascii="Arial" w:hAnsi="Arial"/>
          <w:sz w:val="22"/>
          <w:color w:val="000000"/>
        </w:rPr>
        <w:t>M7.  Draft final paper and reproducibility package — April 2027.</w:t>
      </w:r>
    </w:p>
    <w:p w14:paraId="2DD0D4CF" w14:textId="6CFDF811" w:rsidR="00E7646F" w:rsidRPr="006B5137" w:rsidRDefault="00E55178" w:rsidP="002E7E45">
      <w:pPr>
        <w:jc w:val="both"/>
        <w:spacing w:before="0" w:after="100" w:line="240" w:lineRule="auto"/>
      </w:pPr>
      <w:r>
        <w:rPr>
          <w:rFonts w:ascii="Arial" w:hAnsi="Arial"/>
          <w:sz w:val="22"/>
          <w:color w:val="000000"/>
        </w:rPr>
        <w:t>M8.  Final paper and viva presentation — May 2027, subject to module deadlines.</w:t>
      </w:r>
    </w:p>
    <w:p w14:paraId="2DD0D4CF" w14:textId="6CFDF811" w:rsidR="00E7646F" w:rsidRPr="006B5137" w:rsidRDefault="00E55178" w:rsidP="002E7E45">
      <w:pPr>
        <w:jc w:val="both"/>
        <w:spacing w:before="0" w:after="120" w:line="240" w:lineRule="auto"/>
      </w:pPr>
      <w:r>
        <w:rPr>
          <w:rFonts w:ascii="Arial" w:hAnsi="Arial"/>
          <w:sz w:val="20"/>
          <w:color w:val="000000"/>
        </w:rPr>
        <w:t>All dates are proposed planning dates and must be aligned with the published EG-353 submission and viva schedule.</w:t>
      </w:r>
    </w:p>
    <w:p w14:paraId="56A51208" w14:textId="41E74820" w:rsidR="00561D78" w:rsidRPr="006B5137" w:rsidRDefault="00561D78" w:rsidP="002E7E45">
      <w:pPr>
        <w:rPr>
          <w:rFonts w:ascii="Arial" w:hAnsi="Arial" w:cs="Arial"/>
        </w:rPr>
        <w:sectPr w:rsidR="00561D78" w:rsidRPr="006B5137" w:rsidSect="006A7D15">
          <w:footerReference w:type="default" r:id="rId13"/>
          <w:pgSz w:w="11909" w:h="16834"/>
          <w:pgMar w:top="1440" w:right="1440" w:bottom="1440" w:left="1440" w:header="504" w:footer="706" w:gutter="0"/>
          <w:paperSrc w:first="30752" w:other="30752"/>
          <w:cols w:space="720"/>
          <w:docGrid w:linePitch="272"/>
        </w:sectPr>
      </w:pPr>
    </w:p>
    <w:p w14:paraId="15B19F24" w14:textId="77777777" w:rsidR="00E7646F" w:rsidRPr="006B5137" w:rsidRDefault="00E7646F">
      <w:pPr>
        <w:spacing w:before="0" w:after="240" w:line="240" w:lineRule="auto"/>
        <w:keepNext/>
      </w:pPr>
      <w:r>
        <w:rPr>
          <w:rFonts w:ascii="Arial" w:hAnsi="Arial"/>
          <w:sz w:val="36"/>
          <w:color w:val="000000"/>
          <w:b/>
        </w:rPr>
        <w:t>Gantt chart</w:t>
      </w:r>
    </w:p>
    <w:p w14:paraId="2DD0D4CF" w14:textId="6CFDF811" w:rsidR="00E7646F" w:rsidRPr="006B5137" w:rsidRDefault="00E55178" w:rsidP="002E7E45">
      <w:pPr>
        <w:jc w:val="both"/>
        <w:spacing w:before="0" w:after="120" w:line="240" w:lineRule="auto"/>
      </w:pPr>
      <w:r>
        <w:rPr>
          <w:rFonts w:ascii="Arial" w:hAnsi="Arial"/>
          <w:sz w:val="20"/>
          <w:color w:val="000000"/>
        </w:rPr>
        <w:t>Proposed schedule for 2026/27. Active work is marked X; contingency is marked B. January and April include provisional reduced-capacity periods for examinations and the spring break. Confirm these periods and all deadlines with the module timetable.</w:t>
      </w:r>
    </w:p>
    <w:tbl>
      <w:tblPr>
        <w:tblW w:type="auto" w:w="0"/>
        <w:tblLayout w:type="fixed"/>
        <w:tblLook w:firstColumn="1" w:firstRow="1" w:lastColumn="0" w:lastRow="0" w:noHBand="0" w:noVBand="1" w:val="04A0"/>
      </w:tblPr>
      <w:tblGrid>
        <w:gridCol w:w="3816"/>
        <w:gridCol w:w="1339"/>
        <w:gridCol w:w="1339"/>
        <w:gridCol w:w="1339"/>
        <w:gridCol w:w="1339"/>
        <w:gridCol w:w="1339"/>
        <w:gridCol w:w="1339"/>
        <w:gridCol w:w="1339"/>
        <w:gridCol w:w="1339"/>
      </w:tblGrid>
      <w:tr>
        <w:trPr>
          <w:cantSplit/>
        </w:trPr>
        <w:tc>
          <w:tcPr>
            <w:tcW w:type="dxa" w:w="3816"/>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Task or milestone</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Oct</w:t>
              <w:br/>
              <w:t>2026</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Nov</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Dec</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Jan</w:t>
              <w:br/>
              <w:t>2027</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Feb</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Mar</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Apr</w:t>
            </w:r>
          </w:p>
        </w:tc>
        <w:tc>
          <w:tcPr>
            <w:tcW w:type="dxa" w:w="1339"/>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May</w:t>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T1 Background research</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T2 Planning and approvals</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T3 Simulation validation</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T4 Data preparation</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T5 Numerical baseline</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T6 Network and integration</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T7 Independent evaluation</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T8 Reports and viva</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X</w:t>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Reduced project capacity</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Exams*</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Break*</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Contingency and corrections</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r>
      <w:tr>
        <w:trPr>
          <w:cantSplit/>
        </w:trPr>
        <w:tc>
          <w:tcPr>
            <w:tcW w:type="dxa" w:w="381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Milestone due</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M1</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M2 M3</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M4</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M5</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M6</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M7</w:t>
            </w:r>
          </w:p>
        </w:tc>
        <w:tc>
          <w:tcPr>
            <w:tcW w:type="dxa" w:w="1339"/>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M8</w:t>
            </w:r>
          </w:p>
        </w:tc>
      </w:tr>
    </w:tbl>
    <w:p w14:paraId="2DD0D4CF" w14:textId="6CFDF811" w:rsidR="00E7646F" w:rsidRPr="006B5137" w:rsidRDefault="00E55178" w:rsidP="002E7E45">
      <w:pPr>
        <w:jc w:val="both"/>
        <w:spacing w:before="200" w:after="120" w:line="240" w:lineRule="auto"/>
      </w:pPr>
      <w:r>
        <w:rPr>
          <w:rFonts w:ascii="Arial" w:hAnsi="Arial"/>
          <w:sz w:val="20"/>
          <w:color w:val="000000"/>
        </w:rPr>
        <w:t>M1–M8 correspond to the deliverables on the previous page. *Provisional study constraints, not confirmed university dates. Replan after the numerical baseline and at the progress report.</w:t>
      </w:r>
    </w:p>
    <w:p w14:paraId="15B19F24" w14:textId="77777777" w:rsidR="00E7646F" w:rsidRPr="006B5137" w:rsidRDefault="00E7646F">
      <w:pPr>
        <w:spacing w:before="0" w:after="240" w:line="240" w:lineRule="auto"/>
        <w:pageBreakBefore/>
        <w:keepNext/>
      </w:pPr>
      <w:r>
        <w:rPr>
          <w:rFonts w:ascii="Arial" w:hAnsi="Arial"/>
          <w:sz w:val="36"/>
          <w:color w:val="000000"/>
          <w:b/>
        </w:rPr>
        <w:t>Health, Safety and Risk Assessment of the Project</w:t>
      </w:r>
    </w:p>
    <w:p w14:paraId="2DD0D4CF" w14:textId="6CFDF811" w:rsidR="00E7646F" w:rsidRPr="006B5137" w:rsidRDefault="00E55178" w:rsidP="002E7E45">
      <w:pPr>
        <w:jc w:val="both"/>
        <w:spacing w:before="0" w:after="120" w:line="240" w:lineRule="auto"/>
      </w:pPr>
      <w:r>
        <w:rPr>
          <w:rFonts w:ascii="Arial" w:hAnsi="Arial"/>
          <w:sz w:val="20"/>
          <w:color w:val="000000"/>
        </w:rPr>
        <w:t>Scope: computer-based modelling, data generation and machine learning in CoppeliaSim and Python. No physical robot operation is included. This assessment requires discussion and approval with the supervisor before it is treated as complete.</w:t>
      </w:r>
    </w:p>
    <w:tbl>
      <w:tblPr>
        <w:tblW w:type="auto" w:w="0"/>
        <w:tblLayout w:type="fixed"/>
        <w:tblLook w:firstColumn="1" w:firstRow="1" w:lastColumn="0" w:lastRow="0" w:noHBand="0" w:noVBand="1" w:val="04A0"/>
      </w:tblPr>
      <w:tblGrid>
        <w:gridCol w:w="1800"/>
        <w:gridCol w:w="5472"/>
        <w:gridCol w:w="3096"/>
        <w:gridCol w:w="4176"/>
      </w:tblGrid>
      <w:tr>
        <w:trPr>
          <w:cantSplit/>
        </w:trPr>
        <w:tc>
          <w:tcPr>
            <w:tcW w:type="dxa" w:w="1800"/>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RISK ASSESSMENT FORM</w:t>
            </w:r>
          </w:p>
        </w:tc>
        <w:tc>
          <w:tcPr>
            <w:tcW w:type="dxa" w:w="5472"/>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Project information</w:t>
            </w:r>
          </w:p>
        </w:tc>
        <w:tc>
          <w:tcPr>
            <w:tcW w:type="dxa" w:w="3096"/>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Assessment responsibility</w:t>
            </w:r>
          </w:p>
        </w:tc>
        <w:tc>
          <w:tcPr>
            <w:tcW w:type="dxa" w:w="4176"/>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Details</w:t>
            </w:r>
          </w:p>
        </w:tc>
      </w:tr>
      <w:tr>
        <w:trPr>
          <w:cantSplit/>
        </w:trPr>
        <w:tc>
          <w:tcPr>
            <w:tcW w:type="dxa" w:w="180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Faculty</w:t>
            </w:r>
          </w:p>
        </w:tc>
        <w:tc>
          <w:tcPr>
            <w:tcW w:type="dxa" w:w="54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Science and Engineering</w:t>
            </w:r>
          </w:p>
        </w:tc>
        <w:tc>
          <w:tcPr>
            <w:tcW w:type="dxa" w:w="309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Assessment carried out by</w:t>
            </w:r>
          </w:p>
        </w:tc>
        <w:tc>
          <w:tcPr>
            <w:tcW w:type="dxa" w:w="417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Yifeng Du, 2634068</w:t>
            </w:r>
          </w:p>
        </w:tc>
      </w:tr>
      <w:tr>
        <w:trPr>
          <w:cantSplit/>
        </w:trPr>
        <w:tc>
          <w:tcPr>
            <w:tcW w:type="dxa" w:w="180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Department</w:t>
            </w:r>
          </w:p>
        </w:tc>
        <w:tc>
          <w:tcPr>
            <w:tcW w:type="dxa" w:w="54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Mechanical Engineering</w:t>
            </w:r>
          </w:p>
        </w:tc>
        <w:tc>
          <w:tcPr>
            <w:tcW w:type="dxa" w:w="309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Assessment date</w:t>
            </w:r>
          </w:p>
        </w:tc>
        <w:tc>
          <w:tcPr>
            <w:tcW w:type="dxa" w:w="417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18 October 2026</w:t>
            </w:r>
          </w:p>
        </w:tc>
      </w:tr>
      <w:tr>
        <w:trPr>
          <w:cantSplit/>
        </w:trPr>
        <w:tc>
          <w:tcPr>
            <w:tcW w:type="dxa" w:w="180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Location</w:t>
            </w:r>
          </w:p>
        </w:tc>
        <w:tc>
          <w:tcPr>
            <w:tcW w:type="dxa" w:w="54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Computer workstation; exact location to confirm</w:t>
            </w:r>
          </w:p>
        </w:tc>
        <w:tc>
          <w:tcPr>
            <w:tcW w:type="dxa" w:w="309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Supervisor approval</w:t>
            </w:r>
          </w:p>
        </w:tc>
        <w:tc>
          <w:tcPr>
            <w:tcW w:type="dxa" w:w="417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Pending — Dr Ashraf A. Fahmy</w:t>
            </w:r>
          </w:p>
        </w:tc>
      </w:tr>
      <w:tr>
        <w:trPr>
          <w:cantSplit/>
        </w:trPr>
        <w:tc>
          <w:tcPr>
            <w:tcW w:type="dxa" w:w="180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Associated documents</w:t>
            </w:r>
          </w:p>
        </w:tc>
        <w:tc>
          <w:tcPr>
            <w:tcW w:type="dxa" w:w="54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EG-353 outline; simulation and experiment records</w:t>
            </w:r>
          </w:p>
        </w:tc>
        <w:tc>
          <w:tcPr>
            <w:tcW w:type="dxa" w:w="309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Date of next review</w:t>
            </w:r>
          </w:p>
        </w:tc>
        <w:tc>
          <w:tcPr>
            <w:tcW w:type="dxa" w:w="417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Before experiments or any change of scope</w:t>
            </w:r>
          </w:p>
        </w:tc>
      </w:tr>
    </w:tbl>
    <w:p w14:paraId="2DD0D4CF" w14:textId="6CFDF811" w:rsidR="00E7646F" w:rsidRPr="006B5137" w:rsidRDefault="00E55178" w:rsidP="002E7E45">
      <w:pPr>
        <w:jc w:val="both"/>
        <w:spacing w:before="200" w:after="120" w:line="240" w:lineRule="auto"/>
      </w:pPr>
      <w:r>
        <w:rPr>
          <w:rFonts w:ascii="Arial" w:hAnsi="Arial"/>
          <w:sz w:val="24"/>
          <w:color w:val="000000"/>
          <w:b/>
        </w:rPr>
        <w:t>Part 1: Risk Assessment</w:t>
      </w:r>
    </w:p>
    <w:tbl>
      <w:tblPr>
        <w:tblW w:type="auto" w:w="0"/>
        <w:tblLayout w:type="fixed"/>
        <w:tblLook w:firstColumn="1" w:firstRow="1" w:lastColumn="0" w:lastRow="0" w:noHBand="0" w:noVBand="1" w:val="04A0"/>
      </w:tblPr>
      <w:tblGrid>
        <w:gridCol w:w="2304"/>
        <w:gridCol w:w="1656"/>
        <w:gridCol w:w="2520"/>
        <w:gridCol w:w="3672"/>
        <w:gridCol w:w="4392"/>
      </w:tblGrid>
      <w:tr>
        <w:trPr>
          <w:cantSplit/>
        </w:trPr>
        <w:tc>
          <w:tcPr>
            <w:tcW w:type="dxa" w:w="2304"/>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What are the hazards?</w:t>
            </w:r>
          </w:p>
        </w:tc>
        <w:tc>
          <w:tcPr>
            <w:tcW w:type="dxa" w:w="1656"/>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Who might be harmed?</w:t>
            </w:r>
          </w:p>
        </w:tc>
        <w:tc>
          <w:tcPr>
            <w:tcW w:type="dxa" w:w="2520"/>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How could they be harmed?</w:t>
            </w:r>
          </w:p>
        </w:tc>
        <w:tc>
          <w:tcPr>
            <w:tcW w:type="dxa" w:w="3672"/>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What are you already doing to control the risk?</w:t>
            </w:r>
          </w:p>
        </w:tc>
        <w:tc>
          <w:tcPr>
            <w:tcW w:type="dxa" w:w="4392"/>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18"/>
              </w:rPr>
              <w:t>What further action do you need to control the risks?</w:t>
            </w:r>
          </w:p>
        </w:tc>
      </w:tr>
      <w:tr>
        <w:trPr>
          <w:cantSplit/>
        </w:trPr>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18"/>
              </w:rPr>
              <w:t>Prolonged screen and keyboard use</w:t>
            </w:r>
          </w:p>
        </w:tc>
        <w:tc>
          <w:tcPr>
            <w:tcW w:type="dxa" w:w="165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Student</w:t>
            </w:r>
          </w:p>
        </w:tc>
        <w:tc>
          <w:tcPr>
            <w:tcW w:type="dxa" w:w="252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Eye strain; neck, back or wrist discomfort</w:t>
            </w:r>
          </w:p>
        </w:tc>
        <w:tc>
          <w:tcPr>
            <w:tcW w:type="dxa" w:w="36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Existing workstation controls to be confirmed.</w:t>
            </w:r>
          </w:p>
        </w:tc>
        <w:tc>
          <w:tcPr>
            <w:tcW w:type="dxa" w:w="439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Review desk and screen position; take regular breaks and vary tasks.</w:t>
            </w:r>
          </w:p>
        </w:tc>
      </w:tr>
      <w:tr>
        <w:trPr>
          <w:cantSplit/>
        </w:trPr>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Electrical equipment, heat and trailing leads</w:t>
            </w:r>
          </w:p>
        </w:tc>
        <w:tc>
          <w:tcPr>
            <w:tcW w:type="dxa" w:w="165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Student and nearby users</w:t>
            </w:r>
          </w:p>
        </w:tc>
        <w:tc>
          <w:tcPr>
            <w:tcW w:type="dxa" w:w="252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Electric shock, burns or trips</w:t>
            </w:r>
          </w:p>
        </w:tc>
        <w:tc>
          <w:tcPr>
            <w:tcW w:type="dxa" w:w="36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Equipment and cable condition to be checked.</w:t>
            </w:r>
          </w:p>
        </w:tc>
        <w:tc>
          <w:tcPr>
            <w:tcW w:type="dxa" w:w="439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Use intact approved equipment; keep vents clear and liquids away; secure cables.</w:t>
            </w:r>
          </w:p>
        </w:tc>
      </w:tr>
      <w:tr>
        <w:trPr>
          <w:cantSplit/>
        </w:trPr>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18"/>
              </w:rPr>
              <w:t>Workload and extended experiment sessions</w:t>
            </w:r>
          </w:p>
        </w:tc>
        <w:tc>
          <w:tcPr>
            <w:tcW w:type="dxa" w:w="165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Student</w:t>
            </w:r>
          </w:p>
        </w:tc>
        <w:tc>
          <w:tcPr>
            <w:tcW w:type="dxa" w:w="252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Fatigue, stress and reduced concentration</w:t>
            </w:r>
          </w:p>
        </w:tc>
        <w:tc>
          <w:tcPr>
            <w:tcW w:type="dxa" w:w="36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Work plan includes contingency; working pattern to be reviewed.</w:t>
            </w:r>
          </w:p>
        </w:tc>
        <w:tc>
          <w:tcPr>
            <w:tcW w:type="dxa" w:w="439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Set manageable work periods; review progress and workload with supervisor.</w:t>
            </w:r>
          </w:p>
        </w:tc>
      </w:tr>
      <w:tr>
        <w:trPr>
          <w:cantSplit/>
        </w:trPr>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18"/>
              </w:rPr>
              <w:t>Future physical robot work outside this scope</w:t>
            </w:r>
          </w:p>
        </w:tc>
        <w:tc>
          <w:tcPr>
            <w:tcW w:type="dxa" w:w="1656"/>
            <w:tcBorders>
              <w:top w:val="single" w:sz="4" w:color="999999"/>
              <w:left w:val="single" w:sz="4" w:color="999999"/>
              <w:bottom w:val="single" w:sz="4" w:color="999999"/>
              <w:right w:val="single" w:sz="4" w:color="999999"/>
            </w:tcBorders>
          </w:tcPr>
          <w:p>
            <w:pPr>
              <w:spacing w:after="80" w:before="80"/>
            </w:pPr>
            <w:r>
              <w:rPr>
                <w:rFonts w:ascii="Arial" w:hAnsi="Arial"/>
                <w:b w:val="0"/>
                <w:sz w:val="18"/>
              </w:rPr>
              <w:t>Operators and bystanders</w:t>
            </w:r>
          </w:p>
        </w:tc>
        <w:tc>
          <w:tcPr>
            <w:tcW w:type="dxa" w:w="2520"/>
            <w:tcBorders>
              <w:top w:val="single" w:sz="4" w:color="999999"/>
              <w:left w:val="single" w:sz="4" w:color="999999"/>
              <w:bottom w:val="single" w:sz="4" w:color="999999"/>
              <w:right w:val="single" w:sz="4" w:color="999999"/>
            </w:tcBorders>
          </w:tcPr>
          <w:p>
            <w:pPr>
              <w:spacing w:after="80" w:before="80"/>
            </w:pPr>
            <w:r>
              <w:rPr>
                <w:rFonts w:ascii="Arial" w:hAnsi="Arial"/>
                <w:b w:val="0"/>
                <w:sz w:val="18"/>
              </w:rPr>
              <w:t>Unexpected motion, impact or crushing</w:t>
            </w:r>
          </w:p>
        </w:tc>
        <w:tc>
          <w:tcPr>
            <w:tcW w:type="dxa" w:w="367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Current scope is simulation only.</w:t>
            </w:r>
          </w:p>
        </w:tc>
        <w:tc>
          <w:tcPr>
            <w:tcW w:type="dxa" w:w="4392"/>
            <w:tcBorders>
              <w:top w:val="single" w:sz="4" w:color="999999"/>
              <w:left w:val="single" w:sz="4" w:color="999999"/>
              <w:bottom w:val="single" w:sz="4" w:color="999999"/>
              <w:right w:val="single" w:sz="4" w:color="999999"/>
            </w:tcBorders>
          </w:tcPr>
          <w:p>
            <w:pPr>
              <w:spacing w:after="80" w:before="80"/>
            </w:pPr>
            <w:r>
              <w:rPr>
                <w:rFonts w:ascii="Arial" w:hAnsi="Arial"/>
                <w:b w:val="0"/>
                <w:sz w:val="18"/>
              </w:rPr>
              <w:t>Before hardware use, obtain a separate approved assessment, training and supervised operating procedure.</w:t>
            </w:r>
          </w:p>
        </w:tc>
      </w:tr>
    </w:tbl>
    <w:p w14:paraId="15B19F24" w14:textId="77777777" w:rsidR="00E7646F" w:rsidRPr="006B5137" w:rsidRDefault="00E7646F">
      <w:pPr>
        <w:spacing w:before="0" w:after="240" w:line="240" w:lineRule="auto"/>
        <w:pageBreakBefore/>
        <w:keepNext/>
      </w:pPr>
      <w:r>
        <w:rPr>
          <w:rFonts w:ascii="Arial" w:hAnsi="Arial"/>
          <w:sz w:val="36"/>
          <w:color w:val="000000"/>
          <w:b/>
        </w:rPr>
        <w:t>Part 2 Actions arising from risk assessment</w:t>
      </w:r>
    </w:p>
    <w:tbl>
      <w:tblPr>
        <w:tblW w:type="auto" w:w="0"/>
        <w:tblLayout w:type="fixed"/>
        <w:tblLook w:firstColumn="1" w:firstRow="1" w:lastColumn="0" w:lastRow="0" w:noHBand="0" w:noVBand="1" w:val="04A0"/>
      </w:tblPr>
      <w:tblGrid>
        <w:gridCol w:w="7632"/>
        <w:gridCol w:w="2304"/>
        <w:gridCol w:w="2592"/>
        <w:gridCol w:w="2016"/>
      </w:tblGrid>
      <w:tr>
        <w:trPr>
          <w:cantSplit/>
        </w:trPr>
        <w:tc>
          <w:tcPr>
            <w:tcW w:type="dxa" w:w="7632"/>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20"/>
              </w:rPr>
              <w:t>Actions</w:t>
            </w:r>
          </w:p>
        </w:tc>
        <w:tc>
          <w:tcPr>
            <w:tcW w:type="dxa" w:w="2304"/>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20"/>
              </w:rPr>
              <w:t>Lead</w:t>
              <w:br/>
              <w:t>(by whom)</w:t>
            </w:r>
          </w:p>
        </w:tc>
        <w:tc>
          <w:tcPr>
            <w:tcW w:type="dxa" w:w="2592"/>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20"/>
              </w:rPr>
              <w:t>Target date</w:t>
            </w:r>
          </w:p>
        </w:tc>
        <w:tc>
          <w:tcPr>
            <w:tcW w:type="dxa" w:w="2016"/>
            <w:tcBorders>
              <w:top w:val="single" w:sz="4" w:color="999999"/>
              <w:left w:val="single" w:sz="4" w:color="999999"/>
              <w:bottom w:val="single" w:sz="4" w:color="999999"/>
              <w:right w:val="single" w:sz="4" w:color="999999"/>
            </w:tcBorders>
            <w:shd w:fill="E7E6E6"/>
          </w:tcPr>
          <w:p>
            <w:pPr>
              <w:spacing w:after="80" w:before="80"/>
            </w:pPr>
            <w:r>
              <w:rPr>
                <w:rFonts w:ascii="Arial" w:hAnsi="Arial"/>
                <w:b/>
                <w:sz w:val="20"/>
              </w:rPr>
              <w:t>Done</w:t>
              <w:br/>
              <w:t>(Yes/No)</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Review this assessment with the supervisor and obtain approval.</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 and supervisor</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Before project experiments</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No — pending</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Complete the relevant EG-353 health and safety briefing, quiz and required mini-courses; retain evidence.</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Before approval</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To confirm</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Check workstation layout, equipment, ventilation and cable routing.</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Before extended computer work</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To confirm</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Agree manageable working hours and regular breaks; review workload at meetings.</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 and supervisor</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At first planning review</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To confirm</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Complete ethics screening and submit the ethics report through the required module process.</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 and supervisor</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Proposed November 2026</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No — pending</w:t>
            </w:r>
          </w:p>
        </w:tc>
      </w:tr>
      <w:tr>
        <w:trPr>
          <w:cantSplit/>
        </w:trPr>
        <w:tc>
          <w:tcPr>
            <w:tcW w:type="dxa" w:w="763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Review risks after any change of location, equipment or scope; require a separate assessment before physical robot work.</w:t>
            </w:r>
          </w:p>
        </w:tc>
        <w:tc>
          <w:tcPr>
            <w:tcW w:type="dxa" w:w="2304"/>
            <w:tcBorders>
              <w:top w:val="single" w:sz="4" w:color="999999"/>
              <w:left w:val="single" w:sz="4" w:color="999999"/>
              <w:bottom w:val="single" w:sz="4" w:color="999999"/>
              <w:right w:val="single" w:sz="4" w:color="999999"/>
            </w:tcBorders>
          </w:tcPr>
          <w:p>
            <w:pPr>
              <w:spacing w:after="80" w:before="80"/>
            </w:pPr>
            <w:r>
              <w:rPr>
                <w:rFonts w:ascii="Arial" w:hAnsi="Arial"/>
                <w:b w:val="0"/>
                <w:sz w:val="20"/>
              </w:rPr>
              <w:t>Student and supervisor</w:t>
            </w:r>
          </w:p>
        </w:tc>
        <w:tc>
          <w:tcPr>
            <w:tcW w:type="dxa" w:w="2592"/>
            <w:tcBorders>
              <w:top w:val="single" w:sz="4" w:color="999999"/>
              <w:left w:val="single" w:sz="4" w:color="999999"/>
              <w:bottom w:val="single" w:sz="4" w:color="999999"/>
              <w:right w:val="single" w:sz="4" w:color="999999"/>
            </w:tcBorders>
          </w:tcPr>
          <w:p>
            <w:pPr>
              <w:spacing w:after="80" w:before="80"/>
            </w:pPr>
            <w:r>
              <w:rPr>
                <w:rFonts w:ascii="Arial" w:hAnsi="Arial"/>
                <w:b w:val="0"/>
                <w:sz w:val="20"/>
              </w:rPr>
              <w:t>Before each relevant change</w:t>
            </w:r>
          </w:p>
        </w:tc>
        <w:tc>
          <w:tcPr>
            <w:tcW w:type="dxa" w:w="2016"/>
            <w:tcBorders>
              <w:top w:val="single" w:sz="4" w:color="999999"/>
              <w:left w:val="single" w:sz="4" w:color="999999"/>
              <w:bottom w:val="single" w:sz="4" w:color="999999"/>
              <w:right w:val="single" w:sz="4" w:color="999999"/>
            </w:tcBorders>
          </w:tcPr>
          <w:p>
            <w:pPr>
              <w:spacing w:after="80" w:before="80"/>
            </w:pPr>
            <w:r>
              <w:rPr>
                <w:rFonts w:ascii="Arial" w:hAnsi="Arial"/>
                <w:b w:val="0"/>
                <w:sz w:val="20"/>
              </w:rPr>
              <w:t>Not yet applicable</w:t>
            </w:r>
          </w:p>
        </w:tc>
      </w:tr>
    </w:tbl>
    <w:p w14:paraId="2DD0D4CF" w14:textId="6CFDF811" w:rsidR="00E7646F" w:rsidRPr="006B5137" w:rsidRDefault="00E55178" w:rsidP="002E7E45">
      <w:pPr>
        <w:jc w:val="both"/>
        <w:spacing w:before="320" w:after="120" w:line="240" w:lineRule="auto"/>
      </w:pPr>
      <w:r>
        <w:rPr>
          <w:rFonts w:ascii="Arial" w:hAnsi="Arial"/>
          <w:sz w:val="24"/>
          <w:color w:val="000000"/>
          <w:b/>
        </w:rPr>
        <w:t>Project delivery risks</w:t>
      </w:r>
    </w:p>
    <w:p w14:paraId="2DD0D4CF" w14:textId="6CFDF811" w:rsidR="00E7646F" w:rsidRPr="006B5137" w:rsidRDefault="00E55178" w:rsidP="002E7E45">
      <w:pPr>
        <w:jc w:val="both"/>
        <w:spacing w:before="0" w:after="120" w:line="240" w:lineRule="auto"/>
      </w:pPr>
      <w:r>
        <w:rPr>
          <w:rFonts w:ascii="Arial" w:hAnsi="Arial"/>
          <w:sz w:val="22"/>
          <w:color w:val="000000"/>
        </w:rPr>
        <w:t>If numerical inverse kinematics fails, check coordinate frames, limits and solver settings before increasing network complexity. If the network provides no benefit, report the comparison transparently. Use fixed validation and test rules, retain failed cases, back up datasets and scripts, and use the allocated contingency for reproducibility checks.</w:t>
      </w:r>
    </w:p>
    <w:sectPr w:rsidR="00702010" w:rsidSect="00DA5372">
      <w:pgSz w:w="16834" w:h="11909" w:orient="landscape"/>
      <w:pgMar w:top="1440" w:right="1077" w:bottom="1440" w:left="1077" w:header="505" w:footer="709"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424509" w14:textId="77777777" w:rsidR="00302B1A" w:rsidRDefault="00302B1A">
      <w:r>
        <w:separator/>
      </w:r>
    </w:p>
  </w:endnote>
  <w:endnote w:type="continuationSeparator" w:id="0">
    <w:p w14:paraId="1BD03754" w14:textId="77777777" w:rsidR="00302B1A" w:rsidRDefault="0030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17141841"/>
      <w:docPartObj>
        <w:docPartGallery w:val="Page Numbers (Bottom of Page)"/>
        <w:docPartUnique/>
      </w:docPartObj>
    </w:sdtPr>
    <w:sdtEndPr>
      <w:rPr>
        <w:noProof/>
      </w:rPr>
    </w:sdtEndPr>
    <w:sdtContent>
      <w:p w14:paraId="26B7B26A" w14:textId="081D7847" w:rsidR="006A7D15" w:rsidRDefault="006A7D15">
        <w:pPr>
          <w:pStyle w:val="Footer"/>
          <w:jc w:val="right"/>
        </w:pPr>
        <w:r>
          <w:fldChar w:fldCharType="begin"/>
        </w:r>
        <w:r>
          <w:instrText xml:space="preserve"> PAGE   \* MERGEFORMAT </w:instrText>
        </w:r>
        <w:r>
          <w:fldChar w:fldCharType="separate"/>
        </w:r>
        <w:r w:rsidR="00F04F92">
          <w:rPr>
            <w:noProof/>
          </w:rPr>
          <w:t>1</w:t>
        </w:r>
        <w:r>
          <w:rPr>
            <w:noProof/>
          </w:rPr>
          <w:fldChar w:fldCharType="end"/>
        </w:r>
      </w:p>
    </w:sdtContent>
  </w:sdt>
  <w:p w14:paraId="6ABAEDFF" w14:textId="0EEEE4DA" w:rsidR="00F0450F" w:rsidRDefault="00F045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5F15EF" w14:textId="77777777" w:rsidR="00302B1A" w:rsidRDefault="00302B1A">
      <w:r>
        <w:separator/>
      </w:r>
    </w:p>
  </w:footnote>
  <w:footnote w:type="continuationSeparator" w:id="0">
    <w:p w14:paraId="51A0B3D0" w14:textId="77777777" w:rsidR="00302B1A" w:rsidRDefault="00302B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0F6157"/>
    <w:multiLevelType w:val="hybridMultilevel"/>
    <w:tmpl w:val="16CCD056"/>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EE75C4E"/>
    <w:multiLevelType w:val="hybridMultilevel"/>
    <w:tmpl w:val="BE766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3152179">
    <w:abstractNumId w:val="0"/>
  </w:num>
  <w:num w:numId="2" w16cid:durableId="2343229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7C"/>
    <w:rsid w:val="000062E0"/>
    <w:rsid w:val="000B7158"/>
    <w:rsid w:val="000C454E"/>
    <w:rsid w:val="000C56C4"/>
    <w:rsid w:val="000D2534"/>
    <w:rsid w:val="000D595F"/>
    <w:rsid w:val="00134768"/>
    <w:rsid w:val="00141140"/>
    <w:rsid w:val="00153E01"/>
    <w:rsid w:val="001577E3"/>
    <w:rsid w:val="00165A13"/>
    <w:rsid w:val="00175EAF"/>
    <w:rsid w:val="001840C6"/>
    <w:rsid w:val="00191302"/>
    <w:rsid w:val="001C263D"/>
    <w:rsid w:val="001C5CDB"/>
    <w:rsid w:val="001D3BE6"/>
    <w:rsid w:val="001E3536"/>
    <w:rsid w:val="00206D1D"/>
    <w:rsid w:val="00207D00"/>
    <w:rsid w:val="00267153"/>
    <w:rsid w:val="0027411A"/>
    <w:rsid w:val="00275580"/>
    <w:rsid w:val="002B2BDE"/>
    <w:rsid w:val="002B49DB"/>
    <w:rsid w:val="002E3699"/>
    <w:rsid w:val="002E7E45"/>
    <w:rsid w:val="00302B1A"/>
    <w:rsid w:val="00385C93"/>
    <w:rsid w:val="003A24FB"/>
    <w:rsid w:val="003D49B7"/>
    <w:rsid w:val="003F719C"/>
    <w:rsid w:val="00490783"/>
    <w:rsid w:val="004A1216"/>
    <w:rsid w:val="004D6717"/>
    <w:rsid w:val="005251EC"/>
    <w:rsid w:val="00542C16"/>
    <w:rsid w:val="00546054"/>
    <w:rsid w:val="00561D78"/>
    <w:rsid w:val="005777DB"/>
    <w:rsid w:val="0058048D"/>
    <w:rsid w:val="00596DC0"/>
    <w:rsid w:val="00612863"/>
    <w:rsid w:val="006212A2"/>
    <w:rsid w:val="00626DAE"/>
    <w:rsid w:val="006457E3"/>
    <w:rsid w:val="00682DB1"/>
    <w:rsid w:val="0068587E"/>
    <w:rsid w:val="006A7D15"/>
    <w:rsid w:val="006B5137"/>
    <w:rsid w:val="006D138E"/>
    <w:rsid w:val="006D651C"/>
    <w:rsid w:val="00702010"/>
    <w:rsid w:val="00775A47"/>
    <w:rsid w:val="007B4BEB"/>
    <w:rsid w:val="007D2F14"/>
    <w:rsid w:val="00800A34"/>
    <w:rsid w:val="00804FD5"/>
    <w:rsid w:val="008070EF"/>
    <w:rsid w:val="008578C2"/>
    <w:rsid w:val="008F3575"/>
    <w:rsid w:val="00904241"/>
    <w:rsid w:val="00937FD8"/>
    <w:rsid w:val="00947328"/>
    <w:rsid w:val="00983D97"/>
    <w:rsid w:val="009C4EC6"/>
    <w:rsid w:val="00A35116"/>
    <w:rsid w:val="00A52BE6"/>
    <w:rsid w:val="00A6557C"/>
    <w:rsid w:val="00A82914"/>
    <w:rsid w:val="00AC771F"/>
    <w:rsid w:val="00B17E46"/>
    <w:rsid w:val="00B25B29"/>
    <w:rsid w:val="00B620A0"/>
    <w:rsid w:val="00B71CCA"/>
    <w:rsid w:val="00B80864"/>
    <w:rsid w:val="00B9822D"/>
    <w:rsid w:val="00BD5C8D"/>
    <w:rsid w:val="00C03FFD"/>
    <w:rsid w:val="00C44EAB"/>
    <w:rsid w:val="00CE5380"/>
    <w:rsid w:val="00CF2748"/>
    <w:rsid w:val="00DA1615"/>
    <w:rsid w:val="00DA5372"/>
    <w:rsid w:val="00DA6A9A"/>
    <w:rsid w:val="00DF746E"/>
    <w:rsid w:val="00E04931"/>
    <w:rsid w:val="00E24CB0"/>
    <w:rsid w:val="00E53676"/>
    <w:rsid w:val="00E55178"/>
    <w:rsid w:val="00E66F37"/>
    <w:rsid w:val="00E7646F"/>
    <w:rsid w:val="00EA1530"/>
    <w:rsid w:val="00EB7BA8"/>
    <w:rsid w:val="00F0450F"/>
    <w:rsid w:val="00F04F92"/>
    <w:rsid w:val="00F1673B"/>
    <w:rsid w:val="00F61486"/>
    <w:rsid w:val="00F72A2C"/>
    <w:rsid w:val="00F754BA"/>
    <w:rsid w:val="00FA0741"/>
    <w:rsid w:val="00FA3ED9"/>
    <w:rsid w:val="00FE004D"/>
    <w:rsid w:val="00FE66BD"/>
    <w:rsid w:val="00FF12A7"/>
    <w:rsid w:val="012F7B35"/>
    <w:rsid w:val="01B4C05A"/>
    <w:rsid w:val="047CE9B5"/>
    <w:rsid w:val="04CAEF20"/>
    <w:rsid w:val="04DFDBFC"/>
    <w:rsid w:val="061862FC"/>
    <w:rsid w:val="065ED1FB"/>
    <w:rsid w:val="08028FE2"/>
    <w:rsid w:val="0928AD2C"/>
    <w:rsid w:val="0D89D033"/>
    <w:rsid w:val="111A96B4"/>
    <w:rsid w:val="162C412B"/>
    <w:rsid w:val="167CE34B"/>
    <w:rsid w:val="1687CBC7"/>
    <w:rsid w:val="16D161DD"/>
    <w:rsid w:val="16E5BC41"/>
    <w:rsid w:val="1818B3AC"/>
    <w:rsid w:val="1933DADA"/>
    <w:rsid w:val="1AFFB24E"/>
    <w:rsid w:val="1B3BB7BB"/>
    <w:rsid w:val="20AD4592"/>
    <w:rsid w:val="22881B54"/>
    <w:rsid w:val="22D733C6"/>
    <w:rsid w:val="274973D6"/>
    <w:rsid w:val="27847542"/>
    <w:rsid w:val="28B99808"/>
    <w:rsid w:val="2A78B859"/>
    <w:rsid w:val="2AA1E86E"/>
    <w:rsid w:val="2AA5426D"/>
    <w:rsid w:val="2ADF8A4A"/>
    <w:rsid w:val="2B1F3901"/>
    <w:rsid w:val="2CA9EBC4"/>
    <w:rsid w:val="2DC3BAD2"/>
    <w:rsid w:val="2E45BC25"/>
    <w:rsid w:val="30D1A4DA"/>
    <w:rsid w:val="32B05452"/>
    <w:rsid w:val="331C7574"/>
    <w:rsid w:val="3742CF43"/>
    <w:rsid w:val="39F0B006"/>
    <w:rsid w:val="3ABB6637"/>
    <w:rsid w:val="3BED6C1B"/>
    <w:rsid w:val="3D615386"/>
    <w:rsid w:val="3F7D9C83"/>
    <w:rsid w:val="40A3B9CD"/>
    <w:rsid w:val="44188C31"/>
    <w:rsid w:val="44510DA6"/>
    <w:rsid w:val="4544D099"/>
    <w:rsid w:val="46634F88"/>
    <w:rsid w:val="470251A9"/>
    <w:rsid w:val="489B43F3"/>
    <w:rsid w:val="48F12C67"/>
    <w:rsid w:val="4A1841BC"/>
    <w:rsid w:val="4EAF176B"/>
    <w:rsid w:val="4ED28A82"/>
    <w:rsid w:val="4FD50153"/>
    <w:rsid w:val="508F9B1C"/>
    <w:rsid w:val="50EDEE2F"/>
    <w:rsid w:val="520A2B44"/>
    <w:rsid w:val="527ABEEF"/>
    <w:rsid w:val="54C42E05"/>
    <w:rsid w:val="55127319"/>
    <w:rsid w:val="56CCA99A"/>
    <w:rsid w:val="5D5CC7E4"/>
    <w:rsid w:val="606244FF"/>
    <w:rsid w:val="6081EDCD"/>
    <w:rsid w:val="63818A25"/>
    <w:rsid w:val="63AE1C72"/>
    <w:rsid w:val="63D547CC"/>
    <w:rsid w:val="64324E94"/>
    <w:rsid w:val="66F3C031"/>
    <w:rsid w:val="68A48EA4"/>
    <w:rsid w:val="6A9439E9"/>
    <w:rsid w:val="6ADC0DB5"/>
    <w:rsid w:val="6C21831D"/>
    <w:rsid w:val="6C48F6D1"/>
    <w:rsid w:val="6C6028B3"/>
    <w:rsid w:val="6CA1CBEA"/>
    <w:rsid w:val="6E86F2E6"/>
    <w:rsid w:val="6F811E10"/>
    <w:rsid w:val="6F9A9072"/>
    <w:rsid w:val="7027D62F"/>
    <w:rsid w:val="709AA277"/>
    <w:rsid w:val="71CCA85B"/>
    <w:rsid w:val="723672D8"/>
    <w:rsid w:val="756E139A"/>
    <w:rsid w:val="75E7B474"/>
    <w:rsid w:val="7611B074"/>
    <w:rsid w:val="77E47E91"/>
    <w:rsid w:val="789DEA11"/>
    <w:rsid w:val="79804EF2"/>
    <w:rsid w:val="7B1C1F53"/>
    <w:rsid w:val="7D40828B"/>
    <w:rsid w:val="7DA2A4CD"/>
    <w:rsid w:val="7E53C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2ADC73"/>
  <w15:docId w15:val="{188E61AF-DC7A-FE46-86D9-74A3D941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1440"/>
    </w:pPr>
  </w:style>
  <w:style w:type="paragraph" w:styleId="Heading1">
    <w:name w:val="heading 1"/>
    <w:basedOn w:val="Normal"/>
    <w:next w:val="Heading2"/>
    <w:qFormat/>
    <w:pPr>
      <w:spacing w:before="2880" w:after="1440"/>
      <w:ind w:left="0"/>
      <w:outlineLvl w:val="0"/>
    </w:pPr>
    <w:rPr>
      <w:rFonts w:ascii="Arial" w:hAnsi="Arial"/>
      <w:b/>
      <w:sz w:val="60"/>
    </w:rPr>
  </w:style>
  <w:style w:type="paragraph" w:styleId="Heading2">
    <w:name w:val="heading 2"/>
    <w:basedOn w:val="Heading1"/>
    <w:next w:val="Normal"/>
    <w:qFormat/>
    <w:pPr>
      <w:pBdr>
        <w:top w:val="single" w:sz="6" w:space="1" w:color="auto"/>
      </w:pBdr>
      <w:spacing w:before="240" w:after="120"/>
      <w:outlineLvl w:val="1"/>
    </w:pPr>
    <w:rPr>
      <w:sz w:val="36"/>
    </w:rPr>
  </w:style>
  <w:style w:type="paragraph" w:styleId="Heading3">
    <w:name w:val="heading 3"/>
    <w:basedOn w:val="Heading2"/>
    <w:next w:val="Normal"/>
    <w:qFormat/>
    <w:pPr>
      <w:pBdr>
        <w:top w:val="none" w:sz="0" w:space="0" w:color="auto"/>
      </w:pBdr>
      <w:spacing w:before="180" w:after="84"/>
      <w:ind w:left="144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style>
  <w:style w:type="paragraph" w:styleId="TOC3">
    <w:name w:val="toc 3"/>
    <w:basedOn w:val="TOC2"/>
    <w:next w:val="Normal"/>
    <w:semiHidden/>
    <w:pPr>
      <w:spacing w:before="60" w:after="0"/>
      <w:ind w:left="1440"/>
    </w:pPr>
  </w:style>
  <w:style w:type="paragraph" w:styleId="TOC2">
    <w:name w:val="toc 2"/>
    <w:basedOn w:val="TOC1"/>
    <w:semiHidden/>
    <w:pPr>
      <w:tabs>
        <w:tab w:val="right" w:leader="dot" w:pos="9360"/>
      </w:tabs>
      <w:spacing w:before="120" w:after="60"/>
      <w:ind w:left="720"/>
    </w:pPr>
    <w:rPr>
      <w:rFonts w:ascii="Times New Roman" w:hAnsi="Times New Roman"/>
      <w:b w:val="0"/>
      <w:sz w:val="20"/>
    </w:rPr>
  </w:style>
  <w:style w:type="paragraph" w:styleId="TOC1">
    <w:name w:val="toc 1"/>
    <w:basedOn w:val="Heading1"/>
    <w:next w:val="Normal"/>
    <w:semiHidden/>
    <w:pPr>
      <w:tabs>
        <w:tab w:val="right" w:pos="9360"/>
      </w:tabs>
      <w:spacing w:before="180" w:after="120"/>
      <w:outlineLvl w:val="9"/>
    </w:pPr>
    <w:rPr>
      <w:sz w:val="24"/>
    </w:rPr>
  </w:style>
  <w:style w:type="paragraph" w:styleId="Index1">
    <w:name w:val="index 1"/>
    <w:basedOn w:val="Normal"/>
    <w:next w:val="Normal"/>
    <w:semiHidden/>
    <w:pPr>
      <w:ind w:left="0"/>
    </w:pPr>
  </w:style>
  <w:style w:type="paragraph" w:styleId="IndexHeading">
    <w:name w:val="index heading"/>
    <w:basedOn w:val="Heading1"/>
    <w:next w:val="Normal"/>
    <w:semiHidden/>
    <w:pPr>
      <w:spacing w:before="187" w:after="58"/>
      <w:outlineLvl w:val="9"/>
    </w:pPr>
    <w:rPr>
      <w:sz w:val="24"/>
    </w:rPr>
  </w:style>
  <w:style w:type="paragraph" w:styleId="Footer">
    <w:name w:val="footer"/>
    <w:basedOn w:val="Heading1"/>
    <w:link w:val="FooterChar"/>
    <w:uiPriority w:val="99"/>
    <w:pPr>
      <w:pBdr>
        <w:top w:val="single" w:sz="6" w:space="1" w:color="auto"/>
      </w:pBdr>
      <w:tabs>
        <w:tab w:val="center" w:pos="4680"/>
        <w:tab w:val="right" w:pos="9000"/>
      </w:tabs>
      <w:spacing w:before="0" w:after="0"/>
      <w:outlineLvl w:val="9"/>
    </w:pPr>
    <w:rPr>
      <w:sz w:val="20"/>
    </w:rPr>
  </w:style>
  <w:style w:type="paragraph" w:styleId="Header">
    <w:name w:val="header"/>
    <w:basedOn w:val="Normal"/>
    <w:pPr>
      <w:tabs>
        <w:tab w:val="center" w:pos="4819"/>
        <w:tab w:val="right" w:pos="9071"/>
      </w:tabs>
    </w:pPr>
  </w:style>
  <w:style w:type="character" w:styleId="FootnoteReference">
    <w:name w:val="footnote reference"/>
    <w:semiHidden/>
    <w:rPr>
      <w:position w:val="6"/>
      <w:sz w:val="16"/>
    </w:rPr>
  </w:style>
  <w:style w:type="paragraph" w:styleId="FootnoteText">
    <w:name w:val="footnote text"/>
    <w:basedOn w:val="Normal"/>
    <w:semiHidden/>
    <w:pPr>
      <w:ind w:left="180" w:hanging="180"/>
    </w:pPr>
  </w:style>
  <w:style w:type="paragraph" w:styleId="NormalIndent">
    <w:name w:val="Normal Indent"/>
    <w:basedOn w:val="Normal"/>
    <w:pPr>
      <w:ind w:left="2160"/>
    </w:pPr>
  </w:style>
  <w:style w:type="paragraph" w:styleId="Title">
    <w:name w:val="Title"/>
    <w:basedOn w:val="Heading1"/>
    <w:next w:val="Subtitle1"/>
    <w:qFormat/>
    <w:pPr>
      <w:pBdr>
        <w:top w:val="single" w:sz="48" w:space="1" w:color="auto"/>
      </w:pBdr>
      <w:spacing w:before="3840" w:after="240"/>
      <w:jc w:val="right"/>
      <w:outlineLvl w:val="9"/>
    </w:pPr>
  </w:style>
  <w:style w:type="paragraph" w:customStyle="1" w:styleId="Subtitle1">
    <w:name w:val="Subtitle1"/>
    <w:basedOn w:val="Title"/>
    <w:next w:val="Byline"/>
    <w:pPr>
      <w:pBdr>
        <w:top w:val="none" w:sz="0" w:space="0" w:color="auto"/>
      </w:pBdr>
      <w:spacing w:before="0" w:after="960"/>
    </w:pPr>
    <w:rPr>
      <w:sz w:val="32"/>
    </w:rPr>
  </w:style>
  <w:style w:type="paragraph" w:customStyle="1" w:styleId="Byline">
    <w:name w:val="Byline"/>
    <w:basedOn w:val="Heading1"/>
    <w:next w:val="Normal"/>
    <w:pPr>
      <w:spacing w:before="960" w:after="0"/>
      <w:jc w:val="right"/>
      <w:outlineLvl w:val="9"/>
    </w:pPr>
    <w:rPr>
      <w:sz w:val="28"/>
    </w:rPr>
  </w:style>
  <w:style w:type="paragraph" w:customStyle="1" w:styleId="CompanyName">
    <w:name w:val="CompanyName"/>
    <w:basedOn w:val="Heading1"/>
    <w:pPr>
      <w:spacing w:before="0" w:after="0"/>
      <w:outlineLvl w:val="9"/>
    </w:pPr>
    <w:rPr>
      <w:sz w:val="28"/>
    </w:rPr>
  </w:style>
  <w:style w:type="paragraph" w:customStyle="1" w:styleId="TOCHeading">
    <w:name w:val="TOCHeading"/>
    <w:basedOn w:val="Byline"/>
    <w:pPr>
      <w:spacing w:before="1440" w:after="720"/>
      <w:jc w:val="left"/>
    </w:pPr>
    <w:rPr>
      <w:sz w:val="60"/>
    </w:rPr>
  </w:style>
  <w:style w:type="paragraph" w:styleId="List">
    <w:name w:val="List"/>
    <w:basedOn w:val="Normal"/>
    <w:pPr>
      <w:tabs>
        <w:tab w:val="left" w:pos="3600"/>
      </w:tabs>
      <w:spacing w:after="120"/>
      <w:ind w:left="2160" w:hanging="360"/>
    </w:pPr>
  </w:style>
  <w:style w:type="paragraph" w:customStyle="1" w:styleId="TableText">
    <w:name w:val="TableText"/>
    <w:basedOn w:val="Normal"/>
    <w:pPr>
      <w:ind w:left="0"/>
    </w:pPr>
  </w:style>
  <w:style w:type="character" w:styleId="PageNumber">
    <w:name w:val="page number"/>
    <w:basedOn w:val="DefaultParagraphFont"/>
  </w:style>
  <w:style w:type="paragraph" w:styleId="BalloonText">
    <w:name w:val="Balloon Text"/>
    <w:basedOn w:val="Normal"/>
    <w:link w:val="BalloonTextChar"/>
    <w:rsid w:val="00947328"/>
    <w:pPr>
      <w:spacing w:before="0" w:after="0"/>
    </w:pPr>
    <w:rPr>
      <w:rFonts w:ascii="Lucida Grande" w:hAnsi="Lucida Grande"/>
      <w:sz w:val="18"/>
      <w:szCs w:val="18"/>
    </w:rPr>
  </w:style>
  <w:style w:type="character" w:customStyle="1" w:styleId="BalloonTextChar">
    <w:name w:val="Balloon Text Char"/>
    <w:link w:val="BalloonText"/>
    <w:rsid w:val="00947328"/>
    <w:rPr>
      <w:rFonts w:ascii="Lucida Grande" w:hAnsi="Lucida Grande"/>
      <w:sz w:val="18"/>
      <w:szCs w:val="18"/>
    </w:rPr>
  </w:style>
  <w:style w:type="paragraph" w:styleId="ListParagraph">
    <w:name w:val="List Paragraph"/>
    <w:basedOn w:val="Normal"/>
    <w:uiPriority w:val="72"/>
    <w:rsid w:val="00FF12A7"/>
    <w:pPr>
      <w:spacing w:before="0" w:after="0"/>
      <w:ind w:left="720"/>
      <w:contextualSpacing/>
    </w:pPr>
    <w:rPr>
      <w:sz w:val="24"/>
      <w:szCs w:val="24"/>
      <w:lang w:val="en-GB"/>
    </w:rPr>
  </w:style>
  <w:style w:type="character" w:styleId="Hyperlink">
    <w:name w:val="Hyperlink"/>
    <w:uiPriority w:val="99"/>
    <w:unhideWhenUsed/>
    <w:rsid w:val="00FF12A7"/>
    <w:rPr>
      <w:color w:val="0000FF"/>
      <w:u w:val="single"/>
    </w:rPr>
  </w:style>
  <w:style w:type="character" w:customStyle="1" w:styleId="FooterChar">
    <w:name w:val="Footer Char"/>
    <w:basedOn w:val="DefaultParagraphFont"/>
    <w:link w:val="Footer"/>
    <w:uiPriority w:val="99"/>
    <w:rsid w:val="00F0450F"/>
    <w:rPr>
      <w:rFonts w:ascii="Arial" w:hAnsi="Arial"/>
      <w:b/>
    </w:rPr>
  </w:style>
  <w:style w:type="paragraph" w:styleId="BodyText">
    <w:name w:val="Body Text"/>
    <w:basedOn w:val="Normal"/>
    <w:link w:val="BodyTextChar"/>
    <w:rsid w:val="008F3575"/>
    <w:pPr>
      <w:widowControl w:val="0"/>
      <w:tabs>
        <w:tab w:val="left" w:pos="360"/>
        <w:tab w:val="left" w:pos="720"/>
        <w:tab w:val="left" w:pos="6840"/>
        <w:tab w:val="left" w:pos="7470"/>
        <w:tab w:val="left" w:pos="8100"/>
        <w:tab w:val="left" w:pos="8730"/>
        <w:tab w:val="left" w:pos="9360"/>
      </w:tabs>
      <w:spacing w:before="0" w:after="0"/>
      <w:ind w:left="0"/>
    </w:pPr>
    <w:rPr>
      <w:rFonts w:ascii="Book Antiqua" w:hAnsi="Book Antiqua"/>
      <w:sz w:val="22"/>
    </w:rPr>
  </w:style>
  <w:style w:type="character" w:customStyle="1" w:styleId="BodyTextChar">
    <w:name w:val="Body Text Char"/>
    <w:basedOn w:val="DefaultParagraphFont"/>
    <w:link w:val="BodyText"/>
    <w:rsid w:val="008F3575"/>
    <w:rPr>
      <w:rFonts w:ascii="Book Antiqua" w:hAnsi="Book Antiqua"/>
      <w:sz w:val="22"/>
    </w:rPr>
  </w:style>
  <w:style w:type="table" w:styleId="TableGrid">
    <w:name w:val="Table Grid"/>
    <w:basedOn w:val="TableNormal"/>
    <w:uiPriority w:val="39"/>
    <w:rsid w:val="008F3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bguides.swansea.ac.uk/Vancouve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cgbonet\teaching\Project\eepps_new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DA4D7536B4A674B8063DE97699EEE52" ma:contentTypeVersion="9" ma:contentTypeDescription="Create a new document." ma:contentTypeScope="" ma:versionID="e1f3e76485f343be49d472f24f0adffc">
  <xsd:schema xmlns:xsd="http://www.w3.org/2001/XMLSchema" xmlns:xs="http://www.w3.org/2001/XMLSchema" xmlns:p="http://schemas.microsoft.com/office/2006/metadata/properties" xmlns:ns2="1f987ab0-f29b-4466-86e7-13d250430469" xmlns:ns3="65ad4584-ca9b-42c8-b37d-e1d1e2a87312" targetNamespace="http://schemas.microsoft.com/office/2006/metadata/properties" ma:root="true" ma:fieldsID="2c238ce3800993be32b78a044faa092a" ns2:_="" ns3:_="">
    <xsd:import namespace="1f987ab0-f29b-4466-86e7-13d250430469"/>
    <xsd:import namespace="65ad4584-ca9b-42c8-b37d-e1d1e2a8731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87ab0-f29b-4466-86e7-13d2504304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ad4584-ca9b-42c8-b37d-e1d1e2a8731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6B605E-E817-4D56-8CE5-F4069B9812D0}">
  <ds:schemaRefs>
    <ds:schemaRef ds:uri="http://schemas.microsoft.com/sharepoint/v3/contenttype/forms"/>
  </ds:schemaRefs>
</ds:datastoreItem>
</file>

<file path=customXml/itemProps2.xml><?xml version="1.0" encoding="utf-8"?>
<ds:datastoreItem xmlns:ds="http://schemas.openxmlformats.org/officeDocument/2006/customXml" ds:itemID="{2372B656-9ABD-4B68-8A26-B818C4449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4095EE-6A49-3441-80DC-CA0D4C5E6E9E}">
  <ds:schemaRefs>
    <ds:schemaRef ds:uri="http://schemas.openxmlformats.org/officeDocument/2006/bibliography"/>
  </ds:schemaRefs>
</ds:datastoreItem>
</file>

<file path=customXml/itemProps4.xml><?xml version="1.0" encoding="utf-8"?>
<ds:datastoreItem xmlns:ds="http://schemas.openxmlformats.org/officeDocument/2006/customXml" ds:itemID="{92DF1F27-3BA9-45D6-AF1C-2178F17FF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987ab0-f29b-4466-86e7-13d250430469"/>
    <ds:schemaRef ds:uri="65ad4584-ca9b-42c8-b37d-e1d1e2a87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D:\cgbonet\teaching\Project\eepps_new2.dot</Template>
  <TotalTime>64</TotalTime>
  <Pages>6</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Planning Template</vt:lpstr>
    </vt:vector>
  </TitlesOfParts>
  <Manager>R.M.Kerton@Swansea.ac.uk</Manager>
  <Company>Swansea University</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Template</dc:title>
  <dc:subject>project planning template</dc:subject>
  <dc:creator>r.m.kerton</dc:creator>
  <cp:keywords>project, planning</cp:keywords>
  <cp:lastModifiedBy>Eduardo De Souza Neto</cp:lastModifiedBy>
  <cp:revision>25</cp:revision>
  <cp:lastPrinted>1901-01-01T00:00:00Z</cp:lastPrinted>
  <dcterms:created xsi:type="dcterms:W3CDTF">2020-09-16T11:19:00Z</dcterms:created>
  <dcterms:modified xsi:type="dcterms:W3CDTF">2026-10-06T11:21:00Z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0x0101000DA4D7536B4A674B8063DE97699EEE52</vt:lpwstr>
  </property>
</Properties>
</file>