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5244" w14:textId="77777777" w:rsidR="00C56D68" w:rsidRDefault="00C56D68" w:rsidP="00C56D68">
      <w:r>
        <w:t>Policy Document – Data Retention Policy</w:t>
      </w:r>
    </w:p>
    <w:p w14:paraId="4765F06A" w14:textId="77777777" w:rsidR="00C56D68" w:rsidRDefault="00C56D68" w:rsidP="00C56D68"/>
    <w:p w14:paraId="2CC4FA23" w14:textId="77777777" w:rsidR="00C56D68" w:rsidRDefault="00C56D68" w:rsidP="00C56D68">
      <w:r>
        <w:t xml:space="preserve">All project data will be retained for seven (7) years.  </w:t>
      </w:r>
    </w:p>
    <w:p w14:paraId="1BBCCC36" w14:textId="77777777" w:rsidR="00C56D68" w:rsidRDefault="00C56D68" w:rsidP="00C56D68">
      <w:r>
        <w:t xml:space="preserve">Deletion requests must be submitted in writing to the compliance officer.  </w:t>
      </w:r>
    </w:p>
    <w:p w14:paraId="0C341017" w14:textId="34F2EFA3" w:rsidR="00CD6977" w:rsidRPr="00C56D68" w:rsidRDefault="00C56D68" w:rsidP="00C56D68">
      <w:r>
        <w:t xml:space="preserve">Backups are stored in Azure Blob Storage under secure access controls.  </w:t>
      </w:r>
    </w:p>
    <w:sectPr w:rsidR="00CD6977" w:rsidRPr="00C5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68"/>
    <w:rsid w:val="001121D4"/>
    <w:rsid w:val="00660BEA"/>
    <w:rsid w:val="00806D31"/>
    <w:rsid w:val="00C56D68"/>
    <w:rsid w:val="00CD6977"/>
    <w:rsid w:val="00D4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9BB1"/>
  <w15:chartTrackingRefBased/>
  <w15:docId w15:val="{D3CC72D1-CE63-4D5D-9B01-795DF756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cp:lastPrinted>2025-11-02T14:09:00Z</cp:lastPrinted>
  <dcterms:created xsi:type="dcterms:W3CDTF">2025-11-02T14:08:00Z</dcterms:created>
  <dcterms:modified xsi:type="dcterms:W3CDTF">2025-11-02T14:09:00Z</dcterms:modified>
</cp:coreProperties>
</file>