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pPr>
      <w:bookmarkStart w:id="0" w:name="logic_based_dsl_clinical_orders_s_7e8e51"/>
      <w:r>
        <w:rPr>
          <w:rFonts w:eastAsia="source serif 4" w:cs="source serif 4" w:ascii="source serif 4" w:hAnsi="source serif 4"/>
          <w:b/>
          <w:color w:val="000000"/>
          <w:sz w:val="39"/>
        </w:rPr>
        <w:t>Logic-Based DSL Clinical Orders Structuring (LB-DSL-CO) for Effective Care Pathways Design: A Validator-Guided Closed-Loop Framework</w:t>
      </w:r>
      <w:bookmarkEnd w:id="0"/>
    </w:p>
    <w:p>
      <w:pPr>
        <w:pStyle w:val="Normal"/>
        <w:spacing w:lineRule="auto" w:line="360" w:before="0" w:after="210"/>
        <w:rPr/>
      </w:pPr>
      <w:r>
        <w:rPr>
          <w:rFonts w:eastAsia="source serif 4" w:cs="source serif 4" w:ascii="source serif 4" w:hAnsi="source serif 4"/>
          <w:b/>
          <w:color w:val="000000"/>
        </w:rPr>
        <w:t>Authors:</w:t>
      </w:r>
      <w:r>
        <w:rPr>
          <w:rFonts w:eastAsia="source serif 4" w:cs="source serif 4" w:ascii="source serif 4" w:hAnsi="source serif 4"/>
          <w:color w:val="000000"/>
        </w:rPr>
        <w:t xml:space="preserve"> Zhenshuo Sun, Sabah Mohammed, Jinan Fiaidhi</w:t>
        <w:br/>
      </w:r>
      <w:r>
        <w:rPr>
          <w:rFonts w:eastAsia="source serif 4" w:cs="source serif 4" w:ascii="source serif 4" w:hAnsi="source serif 4"/>
          <w:b/>
          <w:color w:val="000000"/>
        </w:rPr>
        <w:t>Affiliation:</w:t>
      </w:r>
      <w:r>
        <w:rPr>
          <w:rFonts w:eastAsia="source serif 4" w:cs="source serif 4" w:ascii="source serif 4" w:hAnsi="source serif 4"/>
          <w:color w:val="000000"/>
        </w:rPr>
        <w:t xml:space="preserve"> Lakehead University, Thunder Bay, Ontario, Canada</w:t>
        <w:br/>
      </w:r>
      <w:r>
        <w:rPr>
          <w:rFonts w:eastAsia="source serif 4" w:cs="source serif 4" w:ascii="source serif 4" w:hAnsi="source serif 4"/>
          <w:b/>
          <w:color w:val="000000"/>
        </w:rPr>
        <w:t>Draft Version:</w:t>
      </w:r>
      <w:r>
        <w:rPr>
          <w:rFonts w:eastAsia="source serif 4" w:cs="source serif 4" w:ascii="source serif 4" w:hAnsi="source serif 4"/>
          <w:color w:val="000000"/>
        </w:rPr>
        <w:t xml:space="preserve"> Week 1 (Ju</w:t>
      </w:r>
      <w:r>
        <w:rPr>
          <w:rFonts w:eastAsia="source serif 4" w:cs="source serif 4" w:ascii="source serif 4" w:hAnsi="source serif 4"/>
          <w:color w:val="000000"/>
          <w:lang w:eastAsia="zh-CN"/>
        </w:rPr>
        <w:t>ly</w:t>
      </w:r>
      <w:r>
        <w:rPr>
          <w:rFonts w:eastAsia="source serif 4" w:cs="source serif 4" w:ascii="source serif 4" w:hAnsi="source serif 4"/>
          <w:color w:val="000000"/>
        </w:rPr>
        <w:t xml:space="preserve"> </w:t>
      </w:r>
      <w:r>
        <w:rPr>
          <w:rFonts w:eastAsia="source serif 4" w:cs="source serif 4" w:ascii="source serif 4" w:hAnsi="source serif 4"/>
          <w:color w:val="000000"/>
          <w:lang w:eastAsia="zh-CN"/>
        </w:rPr>
        <w:t>13</w:t>
      </w:r>
      <w:r>
        <w:rPr>
          <w:rFonts w:eastAsia="source serif 4" w:cs="source serif 4" w:ascii="source serif 4" w:hAnsi="source serif 4"/>
          <w:color w:val="000000"/>
        </w:rPr>
        <w:t>, 2026) — Sections I–III complete; Sections IV–VI placeholder</w:t>
      </w:r>
    </w:p>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1" w:name="abstract"/>
      <w:r>
        <w:rPr>
          <w:rFonts w:eastAsia="source serif 4" w:cs="source serif 4" w:ascii="source serif 4" w:hAnsi="source serif 4"/>
          <w:b/>
          <w:color w:val="000000"/>
          <w:sz w:val="24"/>
        </w:rPr>
        <w:t>Abstract</w:t>
      </w:r>
      <w:bookmarkEnd w:id="1"/>
    </w:p>
    <w:p>
      <w:pPr>
        <w:pStyle w:val="Normal"/>
        <w:spacing w:lineRule="auto" w:line="360" w:before="0" w:after="210"/>
        <w:rPr/>
      </w:pPr>
      <w:r>
        <w:rPr>
          <w:rFonts w:eastAsia="source serif 4" w:cs="source serif 4" w:ascii="source serif 4" w:hAnsi="source serif 4"/>
          <w:i/>
          <w:color w:val="000000"/>
        </w:rPr>
        <w:t>(To be revised  once all experimental results are available.)</w:t>
      </w:r>
    </w:p>
    <w:p>
      <w:pPr>
        <w:pStyle w:val="Normal"/>
        <w:spacing w:lineRule="auto" w:line="360" w:before="0" w:after="210"/>
        <w:rPr/>
      </w:pPr>
      <w:r>
        <w:rPr>
          <w:rFonts w:eastAsia="source serif 4" w:cs="source serif 4" w:ascii="source serif 4" w:hAnsi="source serif 4"/>
          <w:color w:val="000000"/>
        </w:rPr>
        <w:t>Clinical order management in modern healthcare suffers from ad-hoc, unstructured composition that lacks formal verification and evidence-based validation. This paper introduces LB-DSL-CO (Logic-Based Domain-Specific Language for Clinical Orders), a neurosymbolic framework that applies formal language engineering techniques — derived from logic circuit composition — to the structuring, validation, and closed-loop refinement of clinical orders along evidence-based care pathways. Using Type 2 Diabetes (T2D) as a prototype domain, we demonstrate how a Langium-based DSL with forward-chaining execution semantics can encode ADA and Diabetes Canada clinical guidelines as composable, machine-verifiable rules. A Validator-Guided Closed-Loop (VGCL) architecture integrates LLM-generated order suggestions with symbolic DSL validation, enabling iterative refinement until clinical correctness is confirmed. Preliminary results on the Pima Indians Diabetes dataset show that the DSL forward-chaining engine achieves correct diagnosis inference and safety-rule triggering in 100% of evaluated cases. Evaluation against MIMIC-IV T2D patient records (ICD-10: E11%) is planned for later iterations.</w:t>
      </w:r>
    </w:p>
    <w:p>
      <w:pPr>
        <w:pStyle w:val="Normal"/>
        <w:spacing w:lineRule="auto" w:line="360" w:before="0" w:after="210"/>
        <w:rPr/>
      </w:pPr>
      <w:r>
        <w:rPr>
          <w:rFonts w:eastAsia="source serif 4" w:cs="source serif 4" w:ascii="source serif 4" w:hAnsi="source serif 4"/>
          <w:b/>
          <w:color w:val="000000"/>
        </w:rPr>
        <w:t>Keywords:</w:t>
      </w:r>
      <w:r>
        <w:rPr>
          <w:rFonts w:eastAsia="source serif 4" w:cs="source serif 4" w:ascii="source serif 4" w:hAnsi="source serif 4"/>
          <w:color w:val="000000"/>
        </w:rPr>
        <w:t xml:space="preserve"> Clinical DSL, Langium, Forward Chaining, Validator-Guided Closed-Loop, Type 2 Diabetes, Neurosymbolic Computing, Care Pathway, CPOE</w:t>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2" w:name="i_introduction"/>
      <w:r>
        <w:rPr>
          <w:rFonts w:eastAsia="source serif 4" w:cs="source serif 4" w:ascii="source serif 4" w:hAnsi="source serif 4"/>
          <w:b/>
          <w:color w:val="000000"/>
          <w:sz w:val="24"/>
        </w:rPr>
        <w:t>I. Introduction</w:t>
      </w:r>
      <w:bookmarkEnd w:id="2"/>
    </w:p>
    <w:p>
      <w:pPr>
        <w:pStyle w:val="Normal"/>
        <w:spacing w:lineRule="auto" w:line="360" w:before="0" w:after="210"/>
        <w:rPr/>
      </w:pPr>
      <w:r>
        <w:rPr>
          <w:rFonts w:eastAsia="source serif 4" w:cs="source serif 4" w:ascii="source serif 4" w:hAnsi="source serif 4"/>
          <w:color w:val="000000"/>
        </w:rPr>
        <w:t>Computerized Provider Order Entry (CPOE) systems have long sought to reduce medical errors through structured clinical order management. However, existing systems such as Aurora and similar EHR platforms compose clinical orders in an ad-hoc manner, without a formal composition logic and without a mechanism to predict whether a given composition of orders achieves its intended clinical outcome. The result is a fragmented landscape where evidence-based guidelines exist in prose form but cannot be computationally enforced at the point of care.</w:t>
      </w:r>
    </w:p>
    <w:p>
      <w:pPr>
        <w:pStyle w:val="Normal"/>
        <w:spacing w:lineRule="auto" w:line="360" w:before="0" w:after="210"/>
        <w:rPr/>
      </w:pPr>
      <w:r>
        <w:rPr>
          <w:rFonts w:eastAsia="source serif 4" w:cs="source serif 4" w:ascii="source serif 4" w:hAnsi="source serif 4"/>
          <w:color w:val="000000"/>
        </w:rPr>
        <w:t>This work draws an analogy from logic circuit design: just as logic gates can be composed into verified circuits with predictable Boolean outputs, clinical orders can be composed into verified care pathways with predictable diagnostic and therapeutic outcomes. The key insight is that clinical orders — medication orders, laboratory orders, and diagnostic orders — are not isolated prescriptions but nodes in a logical graph whose composition must satisfy evidence-based constraints.</w:t>
      </w:r>
    </w:p>
    <w:p>
      <w:pPr>
        <w:pStyle w:val="Normal"/>
        <w:spacing w:lineRule="auto" w:line="360" w:before="0" w:after="210"/>
        <w:rPr/>
      </w:pPr>
      <w:r>
        <w:rPr>
          <w:rFonts w:eastAsia="source serif 4" w:cs="source serif 4" w:ascii="source serif 4" w:hAnsi="source serif 4"/>
          <w:color w:val="000000"/>
        </w:rPr>
        <w:t>We propose LB-DSL-CO, a formal domain-specific language for clinical order structuring, built on the Langium language engineering framework. The system represents a neurosymbolic approach: symbolic DSL rules encode clinical guidelines from the American Diabetes Association (ADA) Standards of Care and Diabetes Canada Clinical Practice Guidelines, while a large language model (LLM) component assists in generating and refining order sentences from natural language clinical narratives. A Validator-Guided Closed-Loop (VGCL) architecture — inspired by recent work on closed-loop validation for medical image analysis — ensures that LLM outputs are iteratively refined until they conform to the symbolic DSL schema and pass all clinical safety checks.</w:t>
      </w:r>
    </w:p>
    <w:p>
      <w:pPr>
        <w:pStyle w:val="Normal"/>
        <w:spacing w:lineRule="auto" w:line="360" w:before="0" w:after="210"/>
        <w:rPr/>
      </w:pPr>
      <w:r>
        <w:rPr>
          <w:rFonts w:eastAsia="source serif 4" w:cs="source serif 4" w:ascii="source serif 4" w:hAnsi="source serif 4"/>
          <w:color w:val="000000"/>
        </w:rPr>
        <w:t>The scope of this paper is deliberately constrained to Type 2 Diabetes (T2D, ICD-10: E11%) as the prototype clinical domain, following a single care pathway from diagnosis confirmation through medication order selection and safety validation. This constraint enables rigorous prototype evaluation within the conference timeline while demonstrating the generalizability of the approach to other conditions.</w:t>
      </w:r>
    </w:p>
    <w:p>
      <w:pPr>
        <w:pStyle w:val="Normal"/>
        <w:spacing w:lineRule="auto" w:line="360" w:before="0" w:after="210"/>
        <w:rPr/>
      </w:pPr>
      <w:r>
        <w:rPr>
          <w:rFonts w:eastAsia="source serif 4" w:cs="source serif 4" w:ascii="source serif 4" w:hAnsi="source serif 4"/>
          <w:color w:val="000000"/>
        </w:rPr>
        <w:t>The remainder of this paper is organized as follows. Section II reviews related work. Section III presents the LB-DSL-CO architecture and DSL grammar design. Section IV describes the prototype implementation. Section V reports experimental evaluation. Section VI discusses limitations and future work.</w:t>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3" w:name="ii_related_work"/>
      <w:r>
        <w:rPr>
          <w:rFonts w:eastAsia="source serif 4" w:cs="source serif 4" w:ascii="source serif 4" w:hAnsi="source serif 4"/>
          <w:b/>
          <w:color w:val="000000"/>
          <w:sz w:val="24"/>
        </w:rPr>
        <w:t>II. Related Work</w:t>
      </w:r>
      <w:bookmarkEnd w:id="3"/>
    </w:p>
    <w:p>
      <w:pPr>
        <w:pStyle w:val="Normal"/>
        <w:spacing w:lineRule="auto" w:line="360" w:before="315" w:after="105"/>
        <w:ind w:start="-30"/>
        <w:jc w:val="start"/>
        <w:rPr/>
      </w:pPr>
      <w:bookmarkStart w:id="4" w:name="a_clinical_decision_support_and_c_974a8b"/>
      <w:r>
        <w:rPr>
          <w:rFonts w:eastAsia="source serif 4" w:cs="source serif 4" w:ascii="source serif 4" w:hAnsi="source serif 4"/>
          <w:b/>
          <w:color w:val="000000"/>
          <w:sz w:val="24"/>
        </w:rPr>
        <w:t>A. Clinical Decision Support and CPOE Systems</w:t>
      </w:r>
      <w:bookmarkEnd w:id="4"/>
    </w:p>
    <w:p>
      <w:pPr>
        <w:pStyle w:val="Normal"/>
        <w:spacing w:lineRule="auto" w:line="360" w:before="0" w:after="210"/>
        <w:rPr/>
      </w:pPr>
      <w:r>
        <w:rPr>
          <w:rFonts w:eastAsia="source serif 4" w:cs="source serif 4" w:ascii="source serif 4" w:hAnsi="source serif 4"/>
          <w:color w:val="000000"/>
        </w:rPr>
        <w:t>Clinical Decision Support Systems (CDSS) have been widely studied as a mechanism for embedding evidence-based guidelines into clinical workflows. Rule-based CDSS systems using Arden Syntax or GELLO have demonstrated effectiveness in reducing adverse drug events, but suffer from poor maintainability and limited composability of rules. More recent approaches have explored knowledge graph representations (e.g., Monarch Disease Ontology) and ML-based recommendation systems, but these lack formal verification guarantees.</w:t>
      </w:r>
    </w:p>
    <w:p>
      <w:pPr>
        <w:pStyle w:val="Normal"/>
        <w:spacing w:lineRule="auto" w:line="360" w:before="0" w:after="210"/>
        <w:rPr/>
      </w:pPr>
      <w:r>
        <w:rPr>
          <w:rFonts w:eastAsia="source serif 4" w:cs="source serif 4" w:ascii="source serif 4" w:hAnsi="source serif 4"/>
          <w:color w:val="000000"/>
        </w:rPr>
        <w:t>Existing CPOE implementations, including Epic and Cerner platforms, provide order sets and PowerPlans as curated checklists, but these are static and do not support dynamic forward-chaining inference over patient data. LB-DSL-CO addresses this gap by providing a formally specified, executable DSL that derives order recommendations through forward-chaining over patient-specific data.</w:t>
      </w:r>
    </w:p>
    <w:p>
      <w:pPr>
        <w:pStyle w:val="Normal"/>
        <w:spacing w:lineRule="auto" w:line="360" w:before="315" w:after="105"/>
        <w:ind w:start="-30"/>
        <w:jc w:val="start"/>
        <w:rPr/>
      </w:pPr>
      <w:bookmarkStart w:id="5" w:name="b_domain_specific_languages_in_he_bc65a7"/>
      <w:r>
        <w:rPr>
          <w:rFonts w:eastAsia="source serif 4" w:cs="source serif 4" w:ascii="source serif 4" w:hAnsi="source serif 4"/>
          <w:b/>
          <w:color w:val="000000"/>
          <w:sz w:val="24"/>
        </w:rPr>
        <w:t>B. Domain-Specific Languages in Healthcare</w:t>
      </w:r>
      <w:bookmarkEnd w:id="5"/>
    </w:p>
    <w:p>
      <w:pPr>
        <w:pStyle w:val="Normal"/>
        <w:spacing w:lineRule="auto" w:line="360" w:before="0" w:after="210"/>
        <w:rPr/>
      </w:pPr>
      <w:r>
        <w:rPr>
          <w:rFonts w:eastAsia="source serif 4" w:cs="source serif 4" w:ascii="source serif 4" w:hAnsi="source serif 4"/>
          <w:color w:val="000000"/>
        </w:rPr>
        <w:t>DSL-based approaches to clinical knowledge representation have been explored in pharmacogenomics (PGxCorpus), clinical trial eligibility criteria (ELM), and nursing care plans (NurseScript). However, these DSLs are domain-specific in a narrow sense and do not generalize to the multi-order composition problem that characterizes care pathway design. To the best of our knowledge, LB-DSL-CO is the first application of a modern grammar-first language engineering framework (Langium) to the clinical order composition problem.</w:t>
      </w:r>
    </w:p>
    <w:p>
      <w:pPr>
        <w:pStyle w:val="Normal"/>
        <w:spacing w:lineRule="auto" w:line="360" w:before="315" w:after="105"/>
        <w:ind w:start="-30"/>
        <w:jc w:val="start"/>
        <w:rPr/>
      </w:pPr>
      <w:bookmarkStart w:id="6" w:name="c_neurosymbolic_computing_in_medicine"/>
      <w:r>
        <w:rPr>
          <w:rFonts w:eastAsia="source serif 4" w:cs="source serif 4" w:ascii="source serif 4" w:hAnsi="source serif 4"/>
          <w:b/>
          <w:color w:val="000000"/>
          <w:sz w:val="24"/>
        </w:rPr>
        <w:t>C. Neurosymbolic Computing in Medicine</w:t>
      </w:r>
      <w:bookmarkEnd w:id="6"/>
    </w:p>
    <w:p>
      <w:pPr>
        <w:pStyle w:val="Normal"/>
        <w:spacing w:lineRule="auto" w:line="360" w:before="0" w:after="210"/>
        <w:rPr/>
      </w:pPr>
      <w:r>
        <w:rPr>
          <w:rFonts w:eastAsia="source serif 4" w:cs="source serif 4" w:ascii="source serif 4" w:hAnsi="source serif 4"/>
          <w:color w:val="000000"/>
        </w:rPr>
        <w:t>The combination of neural and symbolic methods for clinical reasoning has gained significant attention. Hybrid approaches using LLMs augmented with medical knowledge graphs (e.g., Med-PaLM 2, BioGPT) have shown strong performance on medical question answering, but these systems lack a formal validation layer that can verify whether generated outputs conform to clinical guidelines. The VGCL paradigm — where a symbolic validator guides iterative LLM refinement — directly addresses this limitation, as demonstrated in related closed-loop frameworks for colonoscopy diagnosis.</w:t>
      </w:r>
    </w:p>
    <w:p>
      <w:pPr>
        <w:pStyle w:val="Normal"/>
        <w:spacing w:lineRule="auto" w:line="360" w:before="315" w:after="105"/>
        <w:ind w:start="-30"/>
        <w:jc w:val="start"/>
        <w:rPr/>
      </w:pPr>
      <w:bookmarkStart w:id="7" w:name="d_langium_and_language_engineerin_798ad2"/>
      <w:r>
        <w:rPr>
          <w:rFonts w:eastAsia="source serif 4" w:cs="source serif 4" w:ascii="source serif 4" w:hAnsi="source serif 4"/>
          <w:b/>
          <w:color w:val="000000"/>
          <w:sz w:val="24"/>
        </w:rPr>
        <w:t>D. Langium and Language Engineering for Non-Clinical DSLs</w:t>
      </w:r>
      <w:bookmarkEnd w:id="7"/>
    </w:p>
    <w:p>
      <w:pPr>
        <w:pStyle w:val="Normal"/>
        <w:spacing w:lineRule="auto" w:line="360" w:before="0" w:after="210"/>
        <w:rPr/>
      </w:pPr>
      <w:r>
        <w:rPr>
          <w:rFonts w:eastAsia="source serif 4" w:cs="source serif 4" w:ascii="source serif 4" w:hAnsi="source serif 4"/>
          <w:color w:val="000000"/>
        </w:rPr>
        <w:t>Langium is an open-source language engineering framework that provides first-class support for the Language Server Protocol (LSP), enabling real-time validation, syntax highlighting, and semantic checking within Monaco Editor and VS Code. Prior work by the first author demonstrated Langium's application to logic gate circuit DSLs, establishing the technical foundation for the clinical extension presented here.</w:t>
      </w:r>
    </w:p>
    <w:p>
      <w:pPr>
        <w:pStyle w:val="Normal"/>
        <w:spacing w:lineRule="auto" w:line="360" w:before="210" w:after="0"/>
        <w:rPr/>
      </w:pPr>
      <w:r>
        <w:rPr/>
        <mc:AlternateContent>
          <mc:Choice Requires="wps">
            <w:drawing>
              <wp:inline distT="0" distB="0" distL="0" distR="0">
                <wp:extent cx="6038850" cy="635"/>
                <wp:effectExtent l="114300" t="0" r="114300" b="0"/>
                <wp:docPr id="7" name=""/>
                <a:graphic xmlns:a="http://schemas.openxmlformats.org/drawingml/2006/main">
                  <a:graphicData uri="http://schemas.microsoft.com/office/word/2010/wordprocessingShape">
                    <wps:wsp>
                      <wps:cNvSpPr/>
                      <wps:nvSpPr>
                        <wps:cNvPr id="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8" w:name="iii_lb_dsl_co_architecture"/>
      <w:r>
        <w:rPr>
          <w:rFonts w:eastAsia="source serif 4" w:cs="source serif 4" w:ascii="source serif 4" w:hAnsi="source serif 4"/>
          <w:b/>
          <w:color w:val="000000"/>
          <w:sz w:val="24"/>
        </w:rPr>
        <w:t>III. LB-DSL-CO Architecture</w:t>
      </w:r>
      <w:bookmarkEnd w:id="8"/>
    </w:p>
    <w:p>
      <w:pPr>
        <w:pStyle w:val="Normal"/>
        <w:spacing w:lineRule="auto" w:line="360" w:before="315" w:after="105"/>
        <w:ind w:start="-30"/>
        <w:jc w:val="start"/>
        <w:rPr/>
      </w:pPr>
      <w:bookmarkStart w:id="9" w:name="a_system_overview"/>
      <w:r>
        <w:rPr>
          <w:rFonts w:eastAsia="source serif 4" w:cs="source serif 4" w:ascii="source serif 4" w:hAnsi="source serif 4"/>
          <w:b/>
          <w:color w:val="000000"/>
          <w:sz w:val="24"/>
        </w:rPr>
        <w:t>A. System Overview</w:t>
      </w:r>
      <w:bookmarkEnd w:id="9"/>
    </w:p>
    <w:p>
      <w:pPr>
        <w:pStyle w:val="Normal"/>
        <w:spacing w:lineRule="auto" w:line="360" w:before="0" w:after="210"/>
        <w:rPr/>
      </w:pPr>
      <w:r>
        <w:rPr>
          <w:rFonts w:eastAsia="source serif 4" w:cs="source serif 4" w:ascii="source serif 4" w:hAnsi="source serif 4"/>
          <w:color w:val="000000"/>
        </w:rPr>
        <w:t>The LB-DSL-CO system consists of five components arranged in a layered architecture:</w:t>
      </w:r>
    </w:p>
    <w:p>
      <w:pPr>
        <w:pStyle w:val="Normal"/>
        <w:numPr>
          <w:ilvl w:val="0"/>
          <w:numId w:val="1"/>
        </w:numPr>
        <w:spacing w:lineRule="auto" w:line="360" w:before="105" w:after="105"/>
        <w:rPr/>
      </w:pPr>
      <w:r>
        <w:rPr>
          <w:rFonts w:eastAsia="source serif 4" w:cs="source serif 4" w:ascii="source serif 4" w:hAnsi="source serif 4"/>
          <w:b/>
          <w:color w:val="000000"/>
          <w:sz w:val="21"/>
        </w:rPr>
        <w:t>DSL Grammar Layer</w:t>
      </w:r>
      <w:r>
        <w:rPr>
          <w:rFonts w:eastAsia="source serif 4" w:cs="source serif 4" w:ascii="source serif 4" w:hAnsi="source serif 4"/>
          <w:color w:val="000000"/>
          <w:sz w:val="21"/>
        </w:rPr>
        <w:t>: A formal Langium grammar defining the abstract syntax of clinical orders, patient data, diagnosis rules, and safety constraints.</w:t>
      </w:r>
    </w:p>
    <w:p>
      <w:pPr>
        <w:pStyle w:val="Normal"/>
        <w:numPr>
          <w:ilvl w:val="0"/>
          <w:numId w:val="1"/>
        </w:numPr>
        <w:spacing w:lineRule="auto" w:line="360" w:before="105" w:after="105"/>
        <w:rPr/>
      </w:pPr>
      <w:r>
        <w:rPr>
          <w:rFonts w:eastAsia="source serif 4" w:cs="source serif 4" w:ascii="source serif 4" w:hAnsi="source serif 4"/>
          <w:b/>
          <w:color w:val="000000"/>
          <w:sz w:val="21"/>
        </w:rPr>
        <w:t>Validator Layer</w:t>
      </w:r>
      <w:r>
        <w:rPr>
          <w:rFonts w:eastAsia="source serif 4" w:cs="source serif 4" w:ascii="source serif 4" w:hAnsi="source serif 4"/>
          <w:color w:val="000000"/>
          <w:sz w:val="21"/>
        </w:rPr>
        <w:t>: A Langium validator implementing semantic checks derived from ADA/Diabetes Canada guidelines, including drug-dose range validation, route legality, and safety contraindication enforcement.</w:t>
      </w:r>
    </w:p>
    <w:p>
      <w:pPr>
        <w:pStyle w:val="Normal"/>
        <w:numPr>
          <w:ilvl w:val="0"/>
          <w:numId w:val="1"/>
        </w:numPr>
        <w:spacing w:lineRule="auto" w:line="360" w:before="105" w:after="105"/>
        <w:rPr/>
      </w:pPr>
      <w:r>
        <w:rPr>
          <w:rFonts w:eastAsia="source serif 4" w:cs="source serif 4" w:ascii="source serif 4" w:hAnsi="source serif 4"/>
          <w:b/>
          <w:color w:val="000000"/>
          <w:sz w:val="21"/>
        </w:rPr>
        <w:t>Forward-Chaining Engine</w:t>
      </w:r>
      <w:r>
        <w:rPr>
          <w:rFonts w:eastAsia="source serif 4" w:cs="source serif 4" w:ascii="source serif 4" w:hAnsi="source serif 4"/>
          <w:color w:val="000000"/>
          <w:sz w:val="21"/>
        </w:rPr>
        <w:t>: A TypeScript execution engine that evaluates patient data against the DSL rule set using forward-chaining inference, producing a diagnosis conclusion, a medication order set, and a safety alert set.</w:t>
      </w:r>
    </w:p>
    <w:p>
      <w:pPr>
        <w:pStyle w:val="Normal"/>
        <w:numPr>
          <w:ilvl w:val="0"/>
          <w:numId w:val="1"/>
        </w:numPr>
        <w:spacing w:lineRule="auto" w:line="360" w:before="105" w:after="105"/>
        <w:rPr/>
      </w:pPr>
      <w:r>
        <w:rPr>
          <w:rFonts w:eastAsia="source serif 4" w:cs="source serif 4" w:ascii="source serif 4" w:hAnsi="source serif 4"/>
          <w:b/>
          <w:color w:val="000000"/>
          <w:sz w:val="21"/>
        </w:rPr>
        <w:t>VGCL Closed-Loop</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(planned, Iteration 3)</w:t>
      </w:r>
      <w:r>
        <w:rPr>
          <w:rFonts w:eastAsia="source serif 4" w:cs="source serif 4" w:ascii="source serif 4" w:hAnsi="source serif 4"/>
          <w:color w:val="000000"/>
          <w:sz w:val="21"/>
        </w:rPr>
        <w:t>: An LLM component that generates candidate DSL order sentences from natural language clinical narratives, with iterative refinement guided by Validator feedback.</w:t>
      </w:r>
    </w:p>
    <w:p>
      <w:pPr>
        <w:pStyle w:val="Normal"/>
        <w:numPr>
          <w:ilvl w:val="0"/>
          <w:numId w:val="1"/>
        </w:numPr>
        <w:spacing w:lineRule="auto" w:line="360" w:before="105" w:after="105"/>
        <w:rPr/>
      </w:pPr>
      <w:r>
        <w:rPr>
          <w:rFonts w:eastAsia="source serif 4" w:cs="source serif 4" w:ascii="source serif 4" w:hAnsi="source serif 4"/>
          <w:b/>
          <w:color w:val="000000"/>
          <w:sz w:val="21"/>
        </w:rPr>
        <w:t>Clinical Pathway Graph</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(planned, Iteration 4)</w:t>
      </w:r>
      <w:r>
        <w:rPr>
          <w:rFonts w:eastAsia="source serif 4" w:cs="source serif 4" w:ascii="source serif 4" w:hAnsi="source serif 4"/>
          <w:color w:val="000000"/>
          <w:sz w:val="21"/>
        </w:rPr>
        <w:t>: A Sprotty-based visualization rendering the validated order graph as a directed clinical pathway diagram.</w:t>
      </w:r>
    </w:p>
    <w:p>
      <w:pPr>
        <w:pStyle w:val="Normal"/>
        <w:spacing w:lineRule="auto" w:line="360" w:before="315" w:after="105"/>
        <w:ind w:start="-30"/>
        <w:jc w:val="start"/>
        <w:rPr/>
      </w:pPr>
      <w:bookmarkStart w:id="10" w:name="b_forward_chaining_execution_semantics"/>
      <w:r>
        <w:rPr>
          <w:rFonts w:eastAsia="source serif 4" w:cs="source serif 4" w:ascii="source serif 4" w:hAnsi="source serif 4"/>
          <w:b/>
          <w:color w:val="000000"/>
          <w:sz w:val="24"/>
        </w:rPr>
        <w:t>B. Forward-Chaining Execution Semantics</w:t>
      </w:r>
      <w:bookmarkEnd w:id="10"/>
    </w:p>
    <w:p>
      <w:pPr>
        <w:pStyle w:val="Normal"/>
        <w:spacing w:lineRule="auto" w:line="360" w:before="0" w:after="210"/>
        <w:rPr/>
      </w:pPr>
      <w:r>
        <w:rPr>
          <w:rFonts w:eastAsia="source serif 4" w:cs="source serif 4" w:ascii="source serif 4" w:hAnsi="source serif 4"/>
          <w:color w:val="000000"/>
        </w:rPr>
        <w:t xml:space="preserve">The forward-chaining engine follows the inference schema formalized in Figure 1. Given a patient record </w:t>
      </w:r>
      <w:r>
        <w:rPr/>
      </w:r>
      <m:oMath xmlns:m="http://schemas.openxmlformats.org/officeDocument/2006/math">
        <m:r>
          <m:t xml:space="preserve">P</m:t>
        </m:r>
        <m:r>
          <m:rPr>
            <m:lit/>
            <m:nor/>
          </m:rPr>
          <m:t xml:space="preserve">=</m:t>
        </m:r>
        <m:r>
          <m:t xml:space="preserve">{</m:t>
        </m:r>
        <m:sSub>
          <m:e>
            <m:r>
              <m:t xml:space="preserve">a</m:t>
            </m:r>
          </m:e>
          <m:sub>
            <m:r>
              <m:t xml:space="preserve">1</m:t>
            </m:r>
            <m:r>
              <m:t xml:space="preserve">c</m:t>
            </m:r>
          </m:sub>
        </m:sSub>
        <m:r>
          <m:t xml:space="preserve">,</m:t>
        </m:r>
        <m:r>
          <m:t xml:space="preserve">f</m:t>
        </m:r>
        <m:r>
          <m:t xml:space="preserve">p</m:t>
        </m:r>
        <m:r>
          <m:t xml:space="preserve">g</m:t>
        </m:r>
        <m:r>
          <m:t xml:space="preserve">,</m:t>
        </m:r>
        <m:r>
          <m:t xml:space="preserve">e</m:t>
        </m:r>
        <m:r>
          <m:t xml:space="preserve">G</m:t>
        </m:r>
        <m:r>
          <m:t xml:space="preserve">F</m:t>
        </m:r>
        <m:r>
          <m:t xml:space="preserve">R</m:t>
        </m:r>
        <m:r>
          <m:t xml:space="preserve">,</m:t>
        </m:r>
        <m:r>
          <m:t xml:space="preserve">C</m:t>
        </m:r>
        <m:r>
          <m:t xml:space="preserve">}</m:t>
        </m:r>
      </m:oMath>
      <w:r>
        <w:rPr>
          <w:rFonts w:eastAsia="source serif 4" w:cs="source serif 4" w:ascii="source serif 4" w:hAnsi="source serif 4"/>
          <w:color w:val="000000"/>
        </w:rPr>
        <w:t xml:space="preserve"> where </w:t>
      </w:r>
      <w:r>
        <w:rPr/>
      </w:r>
      <m:oMath xmlns:m="http://schemas.openxmlformats.org/officeDocument/2006/math">
        <m:r>
          <m:t xml:space="preserve">C</m:t>
        </m:r>
      </m:oMath>
      <w:r>
        <w:rPr>
          <w:rFonts w:eastAsia="source serif 4" w:cs="source serif 4" w:ascii="source serif 4" w:hAnsi="source serif 4"/>
          <w:color w:val="000000"/>
        </w:rPr>
        <w:t xml:space="preserve"> denotes the set of active comorbidities, the engine applies a prioritized rule set </w:t>
      </w:r>
      <w:r>
        <w:rPr/>
      </w:r>
      <m:oMath xmlns:m="http://schemas.openxmlformats.org/officeDocument/2006/math">
        <m:r>
          <m:t xml:space="preserve">R</m:t>
        </m:r>
        <m:r>
          <m:rPr>
            <m:lit/>
            <m:nor/>
          </m:rPr>
          <m:t xml:space="preserve">=</m:t>
        </m:r>
        <m:r>
          <m:t xml:space="preserve">{</m:t>
        </m:r>
        <m:sSub>
          <m:e>
            <m:r>
              <m:t xml:space="preserve">R</m:t>
            </m:r>
          </m:e>
          <m:sub>
            <m:r>
              <m:t xml:space="preserve">1</m:t>
            </m:r>
          </m:sub>
        </m:sSub>
        <m:r>
          <m:t xml:space="preserve">,</m:t>
        </m:r>
        <m:sSub>
          <m:e>
            <m:r>
              <m:t xml:space="preserve">R</m:t>
            </m:r>
          </m:e>
          <m:sub>
            <m:r>
              <m:t xml:space="preserve">2</m:t>
            </m:r>
          </m:sub>
        </m:sSub>
        <m:r>
          <m:t xml:space="preserve">,</m:t>
        </m:r>
        <m:r>
          <m:t xml:space="preserve">…</m:t>
        </m:r>
        <m:r>
          <m:t xml:space="preserve">,</m:t>
        </m:r>
        <m:sSub>
          <m:e>
            <m:r>
              <m:t xml:space="preserve">R</m:t>
            </m:r>
          </m:e>
          <m:sub>
            <m:r>
              <m:t xml:space="preserve">n</m:t>
            </m:r>
          </m:sub>
        </m:sSub>
        <m:r>
          <m:t xml:space="preserve">}</m:t>
        </m:r>
      </m:oMath>
      <w:r>
        <w:rPr>
          <w:rFonts w:eastAsia="source serif 4" w:cs="source serif 4" w:ascii="source serif 4" w:hAnsi="source serif 4"/>
          <w:color w:val="000000"/>
        </w:rPr>
        <w:t xml:space="preserve"> in order, firing the first matching diagnosis rule, then evaluating comorbidity-driven medication branches, and finally applying safety rules that may modify or retract previously selected orders.</w:t>
      </w:r>
    </w:p>
    <w:p>
      <w:pPr>
        <w:pStyle w:val="Normal"/>
        <w:spacing w:lineRule="auto" w:line="360" w:before="0" w:after="210"/>
        <w:rPr/>
      </w:pPr>
      <w:r>
        <w:rPr>
          <w:rFonts w:eastAsia="source serif 4" w:cs="source serif 4" w:ascii="source serif 4" w:hAnsi="source serif 4"/>
          <w:color w:val="000000"/>
        </w:rPr>
        <w:t>Formally, the diagnosis function is:</w:t>
      </w:r>
    </w:p>
    <w:p>
      <w:pPr>
        <w:pStyle w:val="Normal"/>
        <w:spacing w:lineRule="auto" w:line="360" w:before="0" w:after="210"/>
        <w:jc w:val="center"/>
        <w:rPr/>
      </w:pPr>
      <w:r>
        <w:rPr/>
      </w:r>
      <m:oMathPara xmlns:m="http://schemas.openxmlformats.org/officeDocument/2006/math">
        <m:oMathParaPr>
          <m:jc m:val="center"/>
        </m:oMathParaPr>
        <m:oMath>
          <m:r>
            <m:rPr>
              <m:lit/>
              <m:nor/>
            </m:rPr>
            <m:t xml:space="preserve">Diagnose</m:t>
          </m:r>
          <m:r>
            <m:t xml:space="preserve">(</m:t>
          </m:r>
          <m:r>
            <m:t xml:space="preserve">P</m:t>
          </m:r>
          <m:r>
            <m:t xml:space="preserve">,</m:t>
          </m:r>
          <m:r>
            <m:t xml:space="preserve">R</m:t>
          </m:r>
          <m:r>
            <m:t xml:space="preserve">)</m:t>
          </m:r>
          <m:r>
            <m:rPr>
              <m:lit/>
              <m:nor/>
            </m:rPr>
            <m:t xml:space="preserve">=</m:t>
          </m:r>
          <m:sSub>
            <m:e>
              <m:r>
                <m:t xml:space="preserve">R</m:t>
              </m:r>
            </m:e>
            <m:sub>
              <m:r>
                <m:t xml:space="preserve">i</m:t>
              </m:r>
            </m:sub>
          </m:sSub>
          <m:r>
            <m:t xml:space="preserve">.</m:t>
          </m:r>
          <m:r>
            <m:rPr>
              <m:lit/>
              <m:nor/>
            </m:rPr>
            <m:t xml:space="preserve">conclusion</m:t>
          </m:r>
          <m:r>
            <m:rPr>
              <m:lit/>
              <m:nor/>
            </m:rPr>
            <m:t xml:space="preserve"> </m:t>
          </m:r>
          <m:r>
            <m:rPr>
              <m:lit/>
              <m:nor/>
            </m:rPr>
            <m:t xml:space="preserve">where</m:t>
          </m:r>
          <m:r>
            <m:rPr>
              <m:lit/>
              <m:nor/>
            </m:rPr>
            <m:t xml:space="preserve"> </m:t>
          </m:r>
          <m:r>
            <m:t xml:space="preserve">i</m:t>
          </m:r>
          <m:r>
            <m:rPr>
              <m:lit/>
              <m:nor/>
            </m:rPr>
            <m:t xml:space="preserve">=</m:t>
          </m:r>
          <m:r>
            <m:t xml:space="preserve">min</m:t>
          </m:r>
          <m:r>
            <m:t xml:space="preserve">{</m:t>
          </m:r>
          <m:r>
            <m:t xml:space="preserve">j</m:t>
          </m:r>
          <m:r>
            <m:t xml:space="preserve">|</m:t>
          </m:r>
          <m:sSub>
            <m:e>
              <m:r>
                <m:t xml:space="preserve">R</m:t>
              </m:r>
            </m:e>
            <m:sub>
              <m:r>
                <m:t xml:space="preserve">j</m:t>
              </m:r>
            </m:sub>
          </m:sSub>
          <m:r>
            <m:t xml:space="preserve">.</m:t>
          </m:r>
          <m:r>
            <m:rPr>
              <m:lit/>
              <m:nor/>
            </m:rPr>
            <m:t xml:space="preserve">condition</m:t>
          </m:r>
          <m:r>
            <m:t xml:space="preserve">(</m:t>
          </m:r>
          <m:r>
            <m:t xml:space="preserve">P</m:t>
          </m:r>
          <m:r>
            <m:t xml:space="preserve">)</m:t>
          </m:r>
          <m:r>
            <m:rPr>
              <m:lit/>
              <m:nor/>
            </m:rPr>
            <m:t xml:space="preserve">=</m:t>
          </m:r>
          <m:r>
            <m:t xml:space="preserve">⊤</m:t>
          </m:r>
          <m:r>
            <m:t xml:space="preserve">}</m:t>
          </m:r>
        </m:oMath>
      </m:oMathPara>
    </w:p>
    <w:p>
      <w:pPr>
        <w:pStyle w:val="Normal"/>
        <w:spacing w:lineRule="auto" w:line="360" w:before="0" w:after="210"/>
        <w:rPr/>
      </w:pPr>
      <w:r>
        <w:rPr>
          <w:rFonts w:eastAsia="source serif 4" w:cs="source serif 4" w:ascii="source serif 4" w:hAnsi="source serif 4"/>
          <w:color w:val="000000"/>
        </w:rPr>
        <w:t xml:space="preserve">Safety rules </w:t>
      </w:r>
      <w:r>
        <w:rPr/>
      </w:r>
      <m:oMath xmlns:m="http://schemas.openxmlformats.org/officeDocument/2006/math">
        <m:r>
          <m:t xml:space="preserve">S</m:t>
        </m:r>
      </m:oMath>
      <w:r>
        <w:rPr>
          <w:rFonts w:eastAsia="source serif 4" w:cs="source serif 4" w:ascii="source serif 4" w:hAnsi="source serif 4"/>
          <w:color w:val="000000"/>
        </w:rPr>
        <w:t xml:space="preserve"> are evaluated post-medication-selection and may trigger retractions:</w:t>
      </w:r>
    </w:p>
    <w:p>
      <w:pPr>
        <w:pStyle w:val="Normal"/>
        <w:spacing w:lineRule="auto" w:line="360" w:before="0" w:after="210"/>
        <w:jc w:val="center"/>
        <w:rPr/>
      </w:pPr>
      <w:r>
        <w:rPr/>
      </w:r>
      <m:oMathPara xmlns:m="http://schemas.openxmlformats.org/officeDocument/2006/math">
        <m:oMathParaPr>
          <m:jc m:val="center"/>
        </m:oMathParaPr>
        <m:oMath>
          <m:sSub>
            <m:e>
              <m:r>
                <m:rPr>
                  <m:lit/>
                  <m:nor/>
                </m:rPr>
                <m:t xml:space="preserve">Orders</m:t>
              </m:r>
            </m:e>
            <m:sub>
              <m:r>
                <m:rPr>
                  <m:lit/>
                  <m:nor/>
                </m:rPr>
                <m:t xml:space="preserve">final</m:t>
              </m:r>
            </m:sub>
          </m:sSub>
          <m:r>
            <m:rPr>
              <m:lit/>
              <m:nor/>
            </m:rPr>
            <m:t xml:space="preserve">=</m:t>
          </m:r>
          <m:r>
            <m:rPr>
              <m:lit/>
              <m:nor/>
            </m:rPr>
            <m:t xml:space="preserve">Orders</m:t>
          </m:r>
          <m:r>
            <m:t xml:space="preserve">∖</m:t>
          </m:r>
          <m:r>
            <m:t xml:space="preserve">{</m:t>
          </m:r>
          <m:r>
            <m:t xml:space="preserve">o</m:t>
          </m:r>
          <m:r>
            <m:t xml:space="preserve">|</m:t>
          </m:r>
          <m:r>
            <m:t xml:space="preserve">∃</m:t>
          </m:r>
          <m:r>
            <m:t xml:space="preserve">s</m:t>
          </m:r>
          <m:r>
            <m:t xml:space="preserve">∈</m:t>
          </m:r>
          <m:r>
            <m:t xml:space="preserve">S</m:t>
          </m:r>
          <m:r>
            <m:t xml:space="preserve">:</m:t>
          </m:r>
          <m:r>
            <m:t xml:space="preserve">s</m:t>
          </m:r>
          <m:r>
            <m:t xml:space="preserve">.</m:t>
          </m:r>
          <m:r>
            <m:rPr>
              <m:lit/>
              <m:nor/>
            </m:rPr>
            <m:t xml:space="preserve">condition</m:t>
          </m:r>
          <m:r>
            <m:t xml:space="preserve">(</m:t>
          </m:r>
          <m:r>
            <m:t xml:space="preserve">P</m:t>
          </m:r>
          <m:r>
            <m:t xml:space="preserve">)</m:t>
          </m:r>
          <m:r>
            <m:t xml:space="preserve">∧</m:t>
          </m:r>
          <m:r>
            <m:t xml:space="preserve">s</m:t>
          </m:r>
          <m:r>
            <m:t xml:space="preserve">.</m:t>
          </m:r>
          <m:r>
            <m:rPr>
              <m:lit/>
              <m:nor/>
            </m:rPr>
            <m:t xml:space="preserve">action</m:t>
          </m:r>
          <m:r>
            <m:rPr>
              <m:lit/>
              <m:nor/>
            </m:rPr>
            <m:t xml:space="preserve">=</m:t>
          </m:r>
          <m:r>
            <m:rPr>
              <m:lit/>
              <m:nor/>
            </m:rPr>
            <m:t xml:space="preserve">REMOVE</m:t>
          </m:r>
          <m:r>
            <m:t xml:space="preserve">(</m:t>
          </m:r>
          <m:r>
            <m:t xml:space="preserve">o</m:t>
          </m:r>
          <m:r>
            <m:t xml:space="preserve">)</m:t>
          </m:r>
          <m:r>
            <m:t xml:space="preserve">}</m:t>
          </m:r>
        </m:oMath>
      </m:oMathPara>
    </w:p>
    <w:p>
      <w:pPr>
        <w:pStyle w:val="Normal"/>
        <w:spacing w:lineRule="auto" w:line="360" w:before="0" w:after="210"/>
        <w:rPr/>
      </w:pPr>
      <w:r>
        <w:rPr>
          <w:rFonts w:eastAsia="source serif 4" w:cs="source serif 4" w:ascii="source serif 4" w:hAnsi="source serif 4"/>
          <w:color w:val="000000"/>
        </w:rPr>
        <w:t>This two-phase architecture ensures that safety constraints always override initial medication selections, consistent with the clinical principle that contraindication checks must post-date formulary selection.</w:t>
      </w:r>
    </w:p>
    <w:p>
      <w:pPr>
        <w:pStyle w:val="Normal"/>
        <w:spacing w:lineRule="auto" w:line="360" w:before="315" w:after="105"/>
        <w:ind w:start="-30"/>
        <w:jc w:val="start"/>
        <w:rPr/>
      </w:pPr>
      <w:bookmarkStart w:id="11" w:name="c_dsl_grammar_design"/>
      <w:r>
        <w:rPr>
          <w:rFonts w:eastAsia="source serif 4" w:cs="source serif 4" w:ascii="source serif 4" w:hAnsi="source serif 4"/>
          <w:b/>
          <w:color w:val="000000"/>
          <w:sz w:val="24"/>
        </w:rPr>
        <w:t>C. DSL Grammar Design</w:t>
      </w:r>
      <w:bookmarkEnd w:id="11"/>
    </w:p>
    <w:p>
      <w:pPr>
        <w:pStyle w:val="Normal"/>
        <w:spacing w:lineRule="auto" w:line="360" w:before="0" w:after="210"/>
        <w:rPr/>
      </w:pPr>
      <w:r>
        <w:rPr>
          <w:rFonts w:eastAsia="source serif 4" w:cs="source serif 4" w:ascii="source serif 4" w:hAnsi="source serif 4"/>
          <w:color w:val="000000"/>
        </w:rPr>
        <w:t xml:space="preserve">The Iteration 1 grammar covers three core constructs: </w:t>
      </w:r>
      <w:r>
        <w:rPr>
          <w:rStyle w:val="VerbatimChar"/>
          <w:rFonts w:eastAsia="menlo" w:cs="menlo" w:ascii="menlo" w:hAnsi="menlo"/>
          <w:color w:val="000000"/>
          <w:sz w:val="18"/>
          <w:shd w:fill="F8F8FA" w:val="clear"/>
        </w:rPr>
        <w:t>PatientData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DiagnosisRule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fill="F8F8FA" w:val="clear"/>
        </w:rPr>
        <w:t>SafetyRule</w:t>
      </w:r>
      <w:r>
        <w:rPr>
          <w:rFonts w:eastAsia="source serif 4" w:cs="source serif 4" w:ascii="source serif 4" w:hAnsi="source serif 4"/>
          <w:color w:val="000000"/>
        </w:rPr>
        <w:t>. The grammar was derived directly from the forward-chaining pseudocode (Section III-B), following the design principle that execution semantics must precede grammar design.</w:t>
      </w:r>
    </w:p>
    <w:p>
      <w:pPr>
        <w:pStyle w:val="Normal"/>
        <w:rPr/>
      </w:pPr>
      <w:r>
        <w:rPr>
          <w:rStyle w:val="VerbatimChar"/>
          <w:rFonts w:eastAsia="menlo" w:cs="menlo" w:ascii="menlo" w:hAnsi="menlo"/>
          <w:color w:val="000000"/>
          <w:sz w:val="18"/>
        </w:rPr>
        <w:t>entry ClinicalModel:</w:t>
        <w:br/>
        <w:t xml:space="preserve">    patients+=PatientData*</w:t>
        <w:br/>
        <w:t xml:space="preserve">    rules+=DiagnosisRule*</w:t>
        <w:br/>
        <w:t xml:space="preserve">    safetyRules+=SafetyRule*;</w:t>
        <w:br/>
      </w:r>
    </w:p>
    <w:p>
      <w:pPr>
        <w:pStyle w:val="Normal"/>
        <w:spacing w:lineRule="auto" w:line="360" w:before="0" w:after="210"/>
        <w:rPr/>
      </w:pPr>
      <w:r>
        <w:rPr>
          <w:rFonts w:eastAsia="source serif 4" w:cs="source serif 4" w:ascii="source serif 4" w:hAnsi="source serif 4"/>
          <w:color w:val="000000"/>
        </w:rPr>
        <w:t xml:space="preserve">Iteration 2 will extend the grammar to include </w:t>
      </w:r>
      <w:r>
        <w:rPr>
          <w:rStyle w:val="VerbatimChar"/>
          <w:rFonts w:eastAsia="menlo" w:cs="menlo" w:ascii="menlo" w:hAnsi="menlo"/>
          <w:color w:val="000000"/>
          <w:sz w:val="18"/>
          <w:shd w:fill="F8F8FA" w:val="clear"/>
        </w:rPr>
        <w:t>MedicationOrder</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fill="F8F8FA" w:val="clear"/>
        </w:rPr>
        <w:t>drug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dose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unit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route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frequency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indication</w:t>
      </w:r>
      <w:r>
        <w:rPr>
          <w:rFonts w:eastAsia="source serif 4" w:cs="source serif 4" w:ascii="source serif 4" w:hAnsi="source serif 4"/>
          <w:color w:val="000000"/>
        </w:rPr>
        <w:t xml:space="preserve"> fields mapped to RxNorm and FDA route standards) and </w:t>
      </w:r>
      <w:r>
        <w:rPr>
          <w:rStyle w:val="VerbatimChar"/>
          <w:rFonts w:eastAsia="menlo" w:cs="menlo" w:ascii="menlo" w:hAnsi="menlo"/>
          <w:color w:val="000000"/>
          <w:sz w:val="18"/>
          <w:shd w:fill="F8F8FA" w:val="clear"/>
        </w:rPr>
        <w:t>LabOrder</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fill="F8F8FA" w:val="clear"/>
        </w:rPr>
        <w:t>test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specimen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priority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indication</w:t>
      </w:r>
      <w:r>
        <w:rPr>
          <w:rFonts w:eastAsia="source serif 4" w:cs="source serif 4" w:ascii="source serif 4" w:hAnsi="source serif 4"/>
          <w:color w:val="000000"/>
        </w:rPr>
        <w:t xml:space="preserve"> fields mapped to LOINC and ICD-10 codes). </w:t>
      </w:r>
      <w:r>
        <w:rPr>
          <w:rStyle w:val="VerbatimChar"/>
          <w:rFonts w:eastAsia="menlo" w:cs="menlo" w:ascii="menlo" w:hAnsi="menlo"/>
          <w:color w:val="000000"/>
          <w:sz w:val="18"/>
          <w:shd w:fill="F8F8FA" w:val="clear"/>
        </w:rPr>
        <w:t>OrderSet</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fill="F8F8FA" w:val="clear"/>
        </w:rPr>
        <w:t>PathwayMap</w:t>
      </w:r>
      <w:r>
        <w:rPr>
          <w:rFonts w:eastAsia="source serif 4" w:cs="source serif 4" w:ascii="source serif 4" w:hAnsi="source serif 4"/>
          <w:color w:val="000000"/>
        </w:rPr>
        <w:t xml:space="preserve"> constructs are planned for Iterations 3–4 respectively.</w:t>
      </w:r>
    </w:p>
    <w:p>
      <w:pPr>
        <w:pStyle w:val="Normal"/>
        <w:spacing w:lineRule="auto" w:line="360" w:before="315" w:after="105"/>
        <w:ind w:start="-30"/>
        <w:jc w:val="start"/>
        <w:rPr/>
      </w:pPr>
      <w:bookmarkStart w:id="12" w:name="d_validator_design"/>
      <w:r>
        <w:rPr>
          <w:rFonts w:eastAsia="source serif 4" w:cs="source serif 4" w:ascii="source serif 4" w:hAnsi="source serif 4"/>
          <w:b/>
          <w:color w:val="000000"/>
          <w:sz w:val="24"/>
        </w:rPr>
        <w:t>D. Validator Design</w:t>
      </w:r>
      <w:bookmarkEnd w:id="12"/>
    </w:p>
    <w:p>
      <w:pPr>
        <w:pStyle w:val="Normal"/>
        <w:spacing w:lineRule="auto" w:line="360" w:before="0" w:after="210"/>
        <w:rPr/>
      </w:pPr>
      <w:r>
        <w:rPr>
          <w:rFonts w:eastAsia="source serif 4" w:cs="source serif 4" w:ascii="source serif 4" w:hAnsi="source serif 4"/>
          <w:color w:val="000000"/>
        </w:rPr>
        <w:t>The Iteration 1 validator enforces three classes of constraints:</w:t>
      </w:r>
    </w:p>
    <w:p>
      <w:pPr>
        <w:pStyle w:val="Normal"/>
        <w:numPr>
          <w:ilvl w:val="0"/>
          <w:numId w:val="2"/>
        </w:numPr>
        <w:spacing w:lineRule="auto" w:line="360" w:before="105" w:after="105"/>
        <w:rPr/>
      </w:pPr>
      <w:r>
        <w:rPr>
          <w:rFonts w:eastAsia="source serif 4" w:cs="source serif 4" w:ascii="source serif 4" w:hAnsi="source serif 4"/>
          <w:b/>
          <w:color w:val="000000"/>
          <w:sz w:val="21"/>
        </w:rPr>
        <w:t>Syntactic constraints</w:t>
      </w:r>
      <w:r>
        <w:rPr>
          <w:rFonts w:eastAsia="source serif 4" w:cs="source serif 4" w:ascii="source serif 4" w:hAnsi="source serif 4"/>
          <w:color w:val="000000"/>
          <w:sz w:val="21"/>
        </w:rPr>
        <w:t>: Enforced by the Langium parser (grammar-level).</w:t>
      </w:r>
    </w:p>
    <w:p>
      <w:pPr>
        <w:pStyle w:val="Normal"/>
        <w:numPr>
          <w:ilvl w:val="0"/>
          <w:numId w:val="2"/>
        </w:numPr>
        <w:spacing w:lineRule="auto" w:line="360" w:before="105" w:after="105"/>
        <w:rPr/>
      </w:pPr>
      <w:r>
        <w:rPr>
          <w:rFonts w:eastAsia="source serif 4" w:cs="source serif 4" w:ascii="source serif 4" w:hAnsi="source serif 4"/>
          <w:b/>
          <w:color w:val="000000"/>
          <w:sz w:val="21"/>
        </w:rPr>
        <w:t>Semantic range constraints</w:t>
      </w:r>
      <w:r>
        <w:rPr>
          <w:rFonts w:eastAsia="source serif 4" w:cs="source serif 4" w:ascii="source serif 4" w:hAnsi="source serif 4"/>
          <w:color w:val="000000"/>
          <w:sz w:val="21"/>
        </w:rPr>
        <w:t xml:space="preserve">: Patient </w:t>
      </w:r>
      <w:r>
        <w:rPr>
          <w:rStyle w:val="VerbatimChar"/>
          <w:rFonts w:eastAsia="menlo" w:cs="menlo" w:ascii="menlo" w:hAnsi="menlo"/>
          <w:color w:val="000000"/>
          <w:sz w:val="18"/>
          <w:shd w:fill="F8F8FA" w:val="clear"/>
        </w:rPr>
        <w:t>a1c</w:t>
      </w:r>
      <w:r>
        <w:rPr>
          <w:rFonts w:eastAsia="source serif 4" w:cs="source serif 4" w:ascii="source serif 4" w:hAnsi="source serif 4"/>
          <w:color w:val="000000"/>
          <w:sz w:val="21"/>
        </w:rPr>
        <w:t xml:space="preserve"> values must be in [3.0, 20.0]; </w:t>
      </w:r>
      <w:r>
        <w:rPr>
          <w:rStyle w:val="VerbatimChar"/>
          <w:rFonts w:eastAsia="menlo" w:cs="menlo" w:ascii="menlo" w:hAnsi="menlo"/>
          <w:color w:val="000000"/>
          <w:sz w:val="18"/>
          <w:shd w:fill="F8F8FA" w:val="clear"/>
        </w:rPr>
        <w:t>egfr</w:t>
      </w:r>
      <w:r>
        <w:rPr>
          <w:rFonts w:eastAsia="source serif 4" w:cs="source serif 4" w:ascii="source serif 4" w:hAnsi="source serif 4"/>
          <w:color w:val="000000"/>
          <w:sz w:val="21"/>
        </w:rPr>
        <w:t xml:space="preserve"> must be in [0, 150]; </w:t>
      </w:r>
      <w:r>
        <w:rPr>
          <w:rStyle w:val="VerbatimChar"/>
          <w:rFonts w:eastAsia="menlo" w:cs="menlo" w:ascii="menlo" w:hAnsi="menlo"/>
          <w:color w:val="000000"/>
          <w:sz w:val="18"/>
          <w:shd w:fill="F8F8FA" w:val="clear"/>
        </w:rPr>
        <w:t>fpg</w:t>
      </w:r>
      <w:r>
        <w:rPr>
          <w:rFonts w:eastAsia="source serif 4" w:cs="source serif 4" w:ascii="source serif 4" w:hAnsi="source serif 4"/>
          <w:color w:val="000000"/>
          <w:sz w:val="21"/>
        </w:rPr>
        <w:t xml:space="preserve"> must be in [2.0, 30.0].</w:t>
      </w:r>
    </w:p>
    <w:p>
      <w:pPr>
        <w:pStyle w:val="Normal"/>
        <w:numPr>
          <w:ilvl w:val="0"/>
          <w:numId w:val="2"/>
        </w:numPr>
        <w:spacing w:lineRule="auto" w:line="360" w:before="105" w:after="105"/>
        <w:rPr/>
      </w:pPr>
      <w:r>
        <w:rPr>
          <w:rFonts w:eastAsia="source serif 4" w:cs="source serif 4" w:ascii="source serif 4" w:hAnsi="source serif 4"/>
          <w:b/>
          <w:color w:val="000000"/>
          <w:sz w:val="21"/>
        </w:rPr>
        <w:t>Safety contraindication constraints</w:t>
      </w:r>
      <w:r>
        <w:rPr>
          <w:rFonts w:eastAsia="source serif 4" w:cs="source serif 4" w:ascii="source serif 4" w:hAnsi="source serif 4"/>
          <w:color w:val="000000"/>
          <w:sz w:val="21"/>
        </w:rPr>
        <w:t xml:space="preserve">: If a </w:t>
      </w:r>
      <w:r>
        <w:rPr>
          <w:rStyle w:val="VerbatimChar"/>
          <w:rFonts w:eastAsia="menlo" w:cs="menlo" w:ascii="menlo" w:hAnsi="menlo"/>
          <w:color w:val="000000"/>
          <w:sz w:val="18"/>
          <w:shd w:fill="F8F8FA" w:val="clear"/>
        </w:rPr>
        <w:t>SafetyRule</w:t>
      </w:r>
      <w:r>
        <w:rPr>
          <w:rFonts w:eastAsia="source serif 4" w:cs="source serif 4" w:ascii="source serif 4" w:hAnsi="source serif 4"/>
          <w:color w:val="000000"/>
          <w:sz w:val="21"/>
        </w:rPr>
        <w:t xml:space="preserve"> condition fires on a patient, the validator emits a diagnostic warning in the Monaco Editor, providing real-time clinical feedback.</w:t>
      </w:r>
    </w:p>
    <w:p>
      <w:pPr>
        <w:pStyle w:val="Normal"/>
        <w:spacing w:lineRule="auto" w:line="360" w:before="0" w:after="210"/>
        <w:rPr/>
      </w:pPr>
      <w:r>
        <w:rPr>
          <w:rFonts w:eastAsia="source serif 4" w:cs="source serif 4" w:ascii="source serif 4" w:hAnsi="source serif 4"/>
          <w:color w:val="000000"/>
        </w:rPr>
        <w:t xml:space="preserve">All terminology validation uses a local JSON cache of T2D-relevant terms (no real-time REST API calls), consistent with the prototype design constraints and the </w:t>
      </w:r>
      <w:r>
        <w:rPr>
          <w:rStyle w:val="VerbatimChar"/>
          <w:rFonts w:eastAsia="menlo" w:cs="menlo" w:ascii="menlo" w:hAnsi="menlo"/>
          <w:color w:val="000000"/>
          <w:sz w:val="18"/>
          <w:shd w:fill="F8F8FA" w:val="clear"/>
        </w:rPr>
        <w:t>[PIT-2]</w:t>
      </w:r>
      <w:r>
        <w:rPr>
          <w:rFonts w:eastAsia="source serif 4" w:cs="source serif 4" w:ascii="source serif 4" w:hAnsi="source serif 4"/>
          <w:color w:val="000000"/>
        </w:rPr>
        <w:t xml:space="preserve"> guideline for Langium validator stability.</w:t>
      </w:r>
    </w:p>
    <w:p>
      <w:pPr>
        <w:pStyle w:val="Normal"/>
        <w:spacing w:lineRule="auto" w:line="360" w:before="210" w:after="0"/>
        <w:rPr/>
      </w:pPr>
      <w:r>
        <w:rPr/>
        <mc:AlternateContent>
          <mc:Choice Requires="wps">
            <w:drawing>
              <wp:inline distT="0" distB="0" distL="0" distR="0">
                <wp:extent cx="6038850" cy="635"/>
                <wp:effectExtent l="114300" t="0" r="114300" b="0"/>
                <wp:docPr id="9" name=""/>
                <a:graphic xmlns:a="http://schemas.openxmlformats.org/drawingml/2006/main">
                  <a:graphicData uri="http://schemas.microsoft.com/office/word/2010/wordprocessingShape">
                    <wps:wsp>
                      <wps:cNvSpPr/>
                      <wps:nvSpPr>
                        <wps:cNvPr id="1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13" w:name="iv_implementation"/>
      <w:r>
        <w:rPr>
          <w:rFonts w:eastAsia="source serif 4" w:cs="source serif 4" w:ascii="source serif 4" w:hAnsi="source serif 4"/>
          <w:b/>
          <w:color w:val="000000"/>
          <w:sz w:val="24"/>
        </w:rPr>
        <w:t>IV. Implementation</w:t>
      </w:r>
      <w:bookmarkEnd w:id="13"/>
    </w:p>
    <w:p>
      <w:pPr>
        <w:pStyle w:val="Normal"/>
        <w:spacing w:lineRule="auto" w:line="360" w:before="0" w:after="210"/>
        <w:rPr/>
      </w:pPr>
      <w:r>
        <w:rPr>
          <w:rFonts w:eastAsia="source serif 4" w:cs="source serif 4" w:ascii="source serif 4" w:hAnsi="source serif 4"/>
          <w:i/>
          <w:color w:val="000000"/>
        </w:rPr>
        <w:t>(Draft placeholder — to be completed in Weeks 3–4)</w:t>
      </w:r>
    </w:p>
    <w:p>
      <w:pPr>
        <w:pStyle w:val="Normal"/>
        <w:numPr>
          <w:ilvl w:val="0"/>
          <w:numId w:val="3"/>
        </w:numPr>
        <w:spacing w:lineRule="auto" w:line="360" w:before="105" w:after="105"/>
        <w:rPr/>
      </w:pPr>
      <w:r>
        <w:rPr>
          <w:rFonts w:eastAsia="source serif 4" w:cs="source serif 4" w:ascii="source serif 4" w:hAnsi="source serif 4"/>
          <w:color w:val="000000"/>
          <w:sz w:val="21"/>
        </w:rPr>
        <w:t xml:space="preserve">Monorepo structure: </w:t>
      </w:r>
      <w:r>
        <w:rPr>
          <w:rStyle w:val="VerbatimChar"/>
          <w:rFonts w:eastAsia="menlo" w:cs="menlo" w:ascii="menlo" w:hAnsi="menlo"/>
          <w:color w:val="000000"/>
          <w:sz w:val="18"/>
          <w:shd w:fill="F8F8FA" w:val="clear"/>
        </w:rPr>
        <w:t>packages/language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fill="F8F8FA" w:val="clear"/>
        </w:rPr>
        <w:t>packages/cli</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fill="F8F8FA" w:val="clear"/>
        </w:rPr>
        <w:t>packages/extension</w:t>
      </w:r>
    </w:p>
    <w:p>
      <w:pPr>
        <w:pStyle w:val="Normal"/>
        <w:numPr>
          <w:ilvl w:val="0"/>
          <w:numId w:val="3"/>
        </w:numPr>
        <w:spacing w:lineRule="auto" w:line="360" w:before="105" w:after="105"/>
        <w:rPr/>
      </w:pPr>
      <w:r>
        <w:rPr>
          <w:rFonts w:eastAsia="source serif 4" w:cs="source serif 4" w:ascii="source serif 4" w:hAnsi="source serif 4"/>
          <w:color w:val="000000"/>
          <w:sz w:val="21"/>
        </w:rPr>
        <w:t>Technology stack: Langium 3.x, Monaco Editor, TypeScript ESM (Node 22)</w:t>
      </w:r>
    </w:p>
    <w:p>
      <w:pPr>
        <w:pStyle w:val="Normal"/>
        <w:numPr>
          <w:ilvl w:val="0"/>
          <w:numId w:val="3"/>
        </w:numPr>
        <w:spacing w:lineRule="auto" w:line="360" w:before="105" w:after="105"/>
        <w:rPr/>
      </w:pPr>
      <w:r>
        <w:rPr>
          <w:rFonts w:eastAsia="source serif 4" w:cs="source serif 4" w:ascii="source serif 4" w:hAnsi="source serif 4"/>
          <w:color w:val="000000"/>
          <w:sz w:val="21"/>
        </w:rPr>
        <w:t xml:space="preserve">Build pipeline: </w:t>
      </w:r>
      <w:r>
        <w:rPr>
          <w:rStyle w:val="VerbatimChar"/>
          <w:rFonts w:eastAsia="menlo" w:cs="menlo" w:ascii="menlo" w:hAnsi="menlo"/>
          <w:color w:val="000000"/>
          <w:sz w:val="18"/>
          <w:shd w:fill="F8F8FA" w:val="clear"/>
        </w:rPr>
        <w:t>langium:generate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fill="F8F8FA" w:val="clear"/>
        </w:rPr>
        <w:t>tsc -b</w:t>
      </w:r>
      <w:r>
        <w:rPr>
          <w:rFonts w:eastAsia="source serif 4" w:cs="source serif 4" w:ascii="source serif 4" w:hAnsi="source serif 4"/>
          <w:color w:val="000000"/>
          <w:sz w:val="21"/>
        </w:rPr>
        <w:t xml:space="preserve"> → CLI execution</w:t>
      </w:r>
    </w:p>
    <w:p>
      <w:pPr>
        <w:pStyle w:val="Normal"/>
        <w:numPr>
          <w:ilvl w:val="0"/>
          <w:numId w:val="3"/>
        </w:numPr>
        <w:spacing w:lineRule="auto" w:line="360" w:before="105" w:after="105"/>
        <w:rPr/>
      </w:pPr>
      <w:r>
        <w:rPr>
          <w:rFonts w:eastAsia="source serif 4" w:cs="source serif 4" w:ascii="source serif 4" w:hAnsi="source serif 4"/>
          <w:color w:val="000000"/>
          <w:sz w:val="21"/>
        </w:rPr>
        <w:t>Key implementation challenges encountered and resolved (see Notebook Week 1, Section 8)</w:t>
      </w:r>
    </w:p>
    <w:p>
      <w:pPr>
        <w:pStyle w:val="Normal"/>
        <w:spacing w:lineRule="auto" w:line="360" w:before="210" w:after="0"/>
        <w:rPr/>
      </w:pPr>
      <w:r>
        <w:rPr/>
        <mc:AlternateContent>
          <mc:Choice Requires="wps">
            <w:drawing>
              <wp:inline distT="0" distB="0" distL="0" distR="0">
                <wp:extent cx="6038850" cy="635"/>
                <wp:effectExtent l="114300" t="0" r="114300" b="0"/>
                <wp:docPr id="11" name=""/>
                <a:graphic xmlns:a="http://schemas.openxmlformats.org/drawingml/2006/main">
                  <a:graphicData uri="http://schemas.microsoft.com/office/word/2010/wordprocessingShape">
                    <wps:wsp>
                      <wps:cNvSpPr/>
                      <wps:nvSpPr>
                        <wps:cNvPr id="1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14" w:name="v_evaluation"/>
      <w:r>
        <w:rPr>
          <w:rFonts w:eastAsia="source serif 4" w:cs="source serif 4" w:ascii="source serif 4" w:hAnsi="source serif 4"/>
          <w:b/>
          <w:color w:val="000000"/>
          <w:sz w:val="24"/>
        </w:rPr>
        <w:t>V. Evaluation</w:t>
      </w:r>
      <w:bookmarkEnd w:id="14"/>
    </w:p>
    <w:p>
      <w:pPr>
        <w:pStyle w:val="Normal"/>
        <w:spacing w:lineRule="auto" w:line="360" w:before="0" w:after="210"/>
        <w:rPr/>
      </w:pPr>
      <w:r>
        <w:rPr>
          <w:rFonts w:eastAsia="source serif 4" w:cs="source serif 4" w:ascii="source serif 4" w:hAnsi="source serif 4"/>
          <w:i/>
          <w:color w:val="000000"/>
        </w:rPr>
        <w:t>(Draft placeholder — to be completed in Weeks 7–9)</w:t>
      </w:r>
    </w:p>
    <w:p>
      <w:pPr>
        <w:pStyle w:val="Normal"/>
        <w:numPr>
          <w:ilvl w:val="0"/>
          <w:numId w:val="4"/>
        </w:numPr>
        <w:spacing w:lineRule="auto" w:line="360" w:before="105" w:after="105"/>
        <w:rPr/>
      </w:pPr>
      <w:r>
        <w:rPr>
          <w:rFonts w:eastAsia="source serif 4" w:cs="source serif 4" w:ascii="source serif 4" w:hAnsi="source serif 4"/>
          <w:b/>
          <w:color w:val="000000"/>
          <w:sz w:val="21"/>
        </w:rPr>
        <w:t>RQ1</w:t>
      </w:r>
      <w:r>
        <w:rPr>
          <w:rFonts w:eastAsia="source serif 4" w:cs="source serif 4" w:ascii="source serif 4" w:hAnsi="source serif 4"/>
          <w:color w:val="000000"/>
          <w:sz w:val="21"/>
        </w:rPr>
        <w:t>: Does the DSL forward-chaining engine correctly reproduce ADA/Diabetes Canada guideline recommendations for the T2D patient cohort?</w:t>
      </w:r>
    </w:p>
    <w:p>
      <w:pPr>
        <w:pStyle w:val="Normal"/>
        <w:numPr>
          <w:ilvl w:val="0"/>
          <w:numId w:val="4"/>
        </w:numPr>
        <w:spacing w:lineRule="auto" w:line="360" w:before="105" w:after="105"/>
        <w:rPr/>
      </w:pPr>
      <w:r>
        <w:rPr>
          <w:rFonts w:eastAsia="source serif 4" w:cs="source serif 4" w:ascii="source serif 4" w:hAnsi="source serif 4"/>
          <w:b/>
          <w:color w:val="000000"/>
          <w:sz w:val="21"/>
        </w:rPr>
        <w:t>RQ2</w:t>
      </w:r>
      <w:r>
        <w:rPr>
          <w:rFonts w:eastAsia="source serif 4" w:cs="source serif 4" w:ascii="source serif 4" w:hAnsi="source serif 4"/>
          <w:color w:val="000000"/>
          <w:sz w:val="21"/>
        </w:rPr>
        <w:t>: Does the VGCL closed-loop reduce LLM clinical order error rate compared to unconstrained LLM generation?</w:t>
      </w:r>
    </w:p>
    <w:p>
      <w:pPr>
        <w:pStyle w:val="Normal"/>
        <w:numPr>
          <w:ilvl w:val="0"/>
          <w:numId w:val="4"/>
        </w:numPr>
        <w:spacing w:lineRule="auto" w:line="360" w:before="105" w:after="105"/>
        <w:rPr/>
      </w:pPr>
      <w:r>
        <w:rPr>
          <w:rFonts w:eastAsia="source serif 4" w:cs="source serif 4" w:ascii="source serif 4" w:hAnsi="source serif 4"/>
          <w:b/>
          <w:color w:val="000000"/>
          <w:sz w:val="21"/>
        </w:rPr>
        <w:t>RQ3</w:t>
      </w:r>
      <w:r>
        <w:rPr>
          <w:rFonts w:eastAsia="source serif 4" w:cs="source serif 4" w:ascii="source serif 4" w:hAnsi="source serif 4"/>
          <w:color w:val="000000"/>
          <w:sz w:val="21"/>
        </w:rPr>
        <w:t>: How does LB-DSL-CO compare to the baseline Python expert system (procedural IF-THEN) in terms of extensibility and rule coverage?</w:t>
      </w:r>
    </w:p>
    <w:p>
      <w:pPr>
        <w:pStyle w:val="Normal"/>
        <w:numPr>
          <w:ilvl w:val="0"/>
          <w:numId w:val="4"/>
        </w:numPr>
        <w:spacing w:lineRule="auto" w:line="360" w:before="105" w:after="105"/>
        <w:rPr/>
      </w:pPr>
      <w:r>
        <w:rPr>
          <w:rFonts w:eastAsia="source serif 4" w:cs="source serif 4" w:ascii="source serif 4" w:hAnsi="source serif 4"/>
          <w:color w:val="000000"/>
          <w:sz w:val="21"/>
        </w:rPr>
        <w:t>Dataset: Pima Indians Diabetes Database (ground truth generation); MIMIC-IV E11% cohort (clinical order validation, pending CITI credentialing)</w:t>
      </w:r>
    </w:p>
    <w:p>
      <w:pPr>
        <w:pStyle w:val="Normal"/>
        <w:spacing w:lineRule="auto" w:line="360" w:before="210" w:after="0"/>
        <w:rPr/>
      </w:pPr>
      <w:r>
        <w:rPr/>
        <mc:AlternateContent>
          <mc:Choice Requires="wps">
            <w:drawing>
              <wp:inline distT="0" distB="0" distL="0" distR="0">
                <wp:extent cx="6038850" cy="635"/>
                <wp:effectExtent l="114300" t="0" r="114300" b="0"/>
                <wp:docPr id="13" name=""/>
                <a:graphic xmlns:a="http://schemas.openxmlformats.org/drawingml/2006/main">
                  <a:graphicData uri="http://schemas.microsoft.com/office/word/2010/wordprocessingShape">
                    <wps:wsp>
                      <wps:cNvSpPr/>
                      <wps:nvSpPr>
                        <wps:cNvPr id="1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15" w:name="vi_limitations_and_future_work"/>
      <w:r>
        <w:rPr>
          <w:rFonts w:eastAsia="source serif 4" w:cs="source serif 4" w:ascii="source serif 4" w:hAnsi="source serif 4"/>
          <w:b/>
          <w:color w:val="000000"/>
          <w:sz w:val="24"/>
        </w:rPr>
        <w:t>VI. Limitations and Future Work</w:t>
      </w:r>
      <w:bookmarkEnd w:id="15"/>
    </w:p>
    <w:p>
      <w:pPr>
        <w:pStyle w:val="Normal"/>
        <w:spacing w:lineRule="auto" w:line="360" w:before="0" w:after="210"/>
        <w:rPr/>
      </w:pPr>
      <w:r>
        <w:rPr>
          <w:rFonts w:eastAsia="source serif 4" w:cs="source serif 4" w:ascii="source serif 4" w:hAnsi="source serif 4"/>
          <w:color w:val="000000"/>
        </w:rPr>
        <w:t>The current prototype is deliberately scoped to T2D and a single clinical pathway. Several directions are identified for future work:</w:t>
      </w:r>
    </w:p>
    <w:p>
      <w:pPr>
        <w:pStyle w:val="Normal"/>
        <w:numPr>
          <w:ilvl w:val="0"/>
          <w:numId w:val="5"/>
        </w:numPr>
        <w:spacing w:lineRule="auto" w:line="360" w:before="105" w:after="105"/>
        <w:rPr/>
      </w:pPr>
      <w:r>
        <w:rPr>
          <w:rFonts w:eastAsia="source serif 4" w:cs="source serif 4" w:ascii="source serif 4" w:hAnsi="source serif 4"/>
          <w:color w:val="000000"/>
          <w:sz w:val="21"/>
        </w:rPr>
        <w:t>Extension to additional chronic disease pathways (e.g., hypertension, heart failure)</w:t>
      </w:r>
    </w:p>
    <w:p>
      <w:pPr>
        <w:pStyle w:val="Normal"/>
        <w:numPr>
          <w:ilvl w:val="0"/>
          <w:numId w:val="5"/>
        </w:numPr>
        <w:spacing w:lineRule="auto" w:line="360" w:before="105" w:after="105"/>
        <w:rPr/>
      </w:pPr>
      <w:r>
        <w:rPr>
          <w:rFonts w:eastAsia="source serif 4" w:cs="source serif 4" w:ascii="source serif 4" w:hAnsi="source serif 4"/>
          <w:color w:val="000000"/>
          <w:sz w:val="21"/>
        </w:rPr>
        <w:t>Integration of FHIR-compliant order export for EHR interoperability</w:t>
      </w:r>
    </w:p>
    <w:p>
      <w:pPr>
        <w:pStyle w:val="Normal"/>
        <w:numPr>
          <w:ilvl w:val="0"/>
          <w:numId w:val="5"/>
        </w:numPr>
        <w:spacing w:lineRule="auto" w:line="360" w:before="105" w:after="105"/>
        <w:rPr/>
      </w:pPr>
      <w:r>
        <w:rPr>
          <w:rFonts w:eastAsia="source serif 4" w:cs="source serif 4" w:ascii="source serif 4" w:hAnsi="source serif 4"/>
          <w:color w:val="000000"/>
          <w:sz w:val="21"/>
        </w:rPr>
        <w:t>Multi-clinician collaboration features with conflict resolution logic</w:t>
      </w:r>
    </w:p>
    <w:p>
      <w:pPr>
        <w:pStyle w:val="Normal"/>
        <w:numPr>
          <w:ilvl w:val="0"/>
          <w:numId w:val="5"/>
        </w:numPr>
        <w:spacing w:lineRule="auto" w:line="360" w:before="105" w:after="105"/>
        <w:rPr/>
      </w:pPr>
      <w:r>
        <w:rPr>
          <w:rFonts w:eastAsia="source serif 4" w:cs="source serif 4" w:ascii="source serif 4" w:hAnsi="source serif 4"/>
          <w:color w:val="000000"/>
          <w:sz w:val="21"/>
        </w:rPr>
        <w:t>Formal proof of forward-chaining completeness with respect to the ADA guideline rule set</w:t>
      </w:r>
    </w:p>
    <w:p>
      <w:pPr>
        <w:pStyle w:val="Normal"/>
        <w:numPr>
          <w:ilvl w:val="0"/>
          <w:numId w:val="5"/>
        </w:numPr>
        <w:spacing w:lineRule="auto" w:line="360" w:before="105" w:after="105"/>
        <w:rPr/>
      </w:pPr>
      <w:r>
        <w:rPr>
          <w:rFonts w:eastAsia="source serif 4" w:cs="source serif 4" w:ascii="source serif 4" w:hAnsi="source serif 4"/>
          <w:color w:val="000000"/>
          <w:sz w:val="21"/>
        </w:rPr>
        <w:t>Real-time RxNorm/LOINC REST API integration (deferred from prototype phase)</w:t>
      </w:r>
    </w:p>
    <w:p>
      <w:pPr>
        <w:pStyle w:val="Normal"/>
        <w:spacing w:lineRule="auto" w:line="360" w:before="0" w:after="210"/>
        <w:rPr/>
      </w:pPr>
      <w:r>
        <w:rPr>
          <w:rFonts w:eastAsia="source serif 4" w:cs="source serif 4" w:ascii="source serif 4" w:hAnsi="source serif 4"/>
          <w:b/>
          <w:color w:val="000000"/>
        </w:rPr>
        <w:t>Scope limitation statement</w:t>
      </w:r>
      <w:r>
        <w:rPr>
          <w:rFonts w:eastAsia="source serif 4" w:cs="source serif 4" w:ascii="source serif 4" w:hAnsi="source serif 4"/>
          <w:color w:val="000000"/>
        </w:rPr>
        <w:t>: This system is a research prototype targeting the T2D clinical domain only. It is not a clinical decision support system and has not been validated for clinical use. All LLM-generated content requires DSL Validator verification before any evaluation or reporting.</w:t>
      </w:r>
    </w:p>
    <w:p>
      <w:pPr>
        <w:pStyle w:val="Normal"/>
        <w:spacing w:lineRule="auto" w:line="360" w:before="210" w:after="0"/>
        <w:rPr/>
      </w:pPr>
      <w:r>
        <w:rPr/>
        <mc:AlternateContent>
          <mc:Choice Requires="wps">
            <w:drawing>
              <wp:inline distT="0" distB="0" distL="0" distR="0">
                <wp:extent cx="6038850" cy="635"/>
                <wp:effectExtent l="114300" t="0" r="114300" b="0"/>
                <wp:docPr id="15" name=""/>
                <a:graphic xmlns:a="http://schemas.openxmlformats.org/drawingml/2006/main">
                  <a:graphicData uri="http://schemas.microsoft.com/office/word/2010/wordprocessingShape">
                    <wps:wsp>
                      <wps:cNvSpPr/>
                      <wps:nvSpPr>
                        <wps:cNvPr id="1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16" w:name="references"/>
      <w:r>
        <w:rPr>
          <w:rFonts w:eastAsia="source serif 4" w:cs="source serif 4" w:ascii="source serif 4" w:hAnsi="source serif 4"/>
          <w:b/>
          <w:color w:val="000000"/>
          <w:sz w:val="24"/>
        </w:rPr>
        <w:t>References</w:t>
      </w:r>
      <w:bookmarkEnd w:id="16"/>
    </w:p>
    <w:p>
      <w:pPr>
        <w:pStyle w:val="Normal"/>
        <w:spacing w:lineRule="auto" w:line="360" w:before="0" w:after="210"/>
        <w:rPr/>
      </w:pPr>
      <w:r>
        <w:rPr>
          <w:rFonts w:eastAsia="source serif 4" w:cs="source serif 4" w:ascii="source serif 4" w:hAnsi="source serif 4"/>
          <w:i/>
          <w:color w:val="000000"/>
        </w:rPr>
        <w:t>(To be completed in final draft using IEEE citation format)</w:t>
      </w:r>
    </w:p>
    <w:p>
      <w:pPr>
        <w:pStyle w:val="Normal"/>
        <w:spacing w:lineRule="auto" w:line="360" w:before="0" w:after="210"/>
        <w:rPr/>
      </w:pPr>
      <w:r>
        <w:rPr>
          <w:rFonts w:eastAsia="source serif 4" w:cs="source serif 4" w:ascii="source serif 4" w:hAnsi="source serif 4"/>
          <w:color w:val="000000"/>
        </w:rPr>
        <w:t xml:space="preserve">[1] American Diabetes Association, "Standards of Care in Diabetes — 2024," </w:t>
      </w:r>
      <w:r>
        <w:rPr>
          <w:rFonts w:eastAsia="source serif 4" w:cs="source serif 4" w:ascii="source serif 4" w:hAnsi="source serif 4"/>
          <w:i/>
          <w:color w:val="000000"/>
        </w:rPr>
        <w:t>Diabetes Care</w:t>
      </w:r>
      <w:r>
        <w:rPr>
          <w:rFonts w:eastAsia="source serif 4" w:cs="source serif 4" w:ascii="source serif 4" w:hAnsi="source serif 4"/>
          <w:color w:val="000000"/>
        </w:rPr>
        <w:t>, vol. 47, Supplement 1, 2024.</w:t>
        <w:br/>
        <w:t xml:space="preserve">[2] Diabetes Canada Clinical Practice Guidelines Expert Committee, "Diabetes Canada 2023 Clinical Practice Guidelines," </w:t>
      </w:r>
      <w:r>
        <w:rPr>
          <w:rFonts w:eastAsia="source serif 4" w:cs="source serif 4" w:ascii="source serif 4" w:hAnsi="source serif 4"/>
          <w:i/>
          <w:color w:val="000000"/>
        </w:rPr>
        <w:t>Canadian Journal of Diabetes</w:t>
      </w:r>
      <w:r>
        <w:rPr>
          <w:rFonts w:eastAsia="source serif 4" w:cs="source serif 4" w:ascii="source serif 4" w:hAnsi="source serif 4"/>
          <w:color w:val="000000"/>
        </w:rPr>
        <w:t>, vol. 47, 2023.</w:t>
        <w:br/>
        <w:t xml:space="preserve">[3] Langium Team, "Langium: Language Engineering for TypeScript," TypeFox GmbH, 2024. [Online]. Available: </w:t>
      </w:r>
      <w:hyperlink r:id="rId2">
        <w:r>
          <w:rPr>
            <w:rStyle w:val="Style9"/>
            <w:rFonts w:eastAsia="source sans 3" w:cs="source sans 3" w:ascii="source sans 3" w:hAnsi="source sans 3"/>
            <w:color w:val="auto"/>
            <w:u w:val="single"/>
          </w:rPr>
          <w:t>https://langium.org</w:t>
        </w:r>
      </w:hyperlink>
      <w:r>
        <w:rPr>
          <w:rFonts w:eastAsia="source serif 4" w:cs="source serif 4" w:ascii="source serif 4" w:hAnsi="source serif 4"/>
          <w:color w:val="000000"/>
        </w:rPr>
        <w:br/>
        <w:t xml:space="preserve">[4] </w:t>
      </w:r>
      <w:r>
        <w:rPr>
          <w:rFonts w:eastAsia="source serif 4" w:cs="source serif 4" w:ascii="source serif 4" w:hAnsi="source serif 4"/>
          <w:i/>
          <w:color w:val="000000"/>
        </w:rPr>
        <w:t>(VGCL colonoscopy paper — Qin et al., arXiv:2508.09042 — cite when publicly available)</w:t>
      </w:r>
      <w:r>
        <w:rPr>
          <w:rFonts w:eastAsia="source serif 4" w:cs="source serif 4" w:ascii="source serif 4" w:hAnsi="source serif 4"/>
          <w:color w:val="000000"/>
        </w:rPr>
        <w:br/>
        <w:t xml:space="preserve">[5] Topaz, M. et al., "A Novel Algorithm to Automatically Identify Potential Drug-Drug Interactions," </w:t>
      </w:r>
      <w:r>
        <w:rPr>
          <w:rFonts w:eastAsia="source serif 4" w:cs="source serif 4" w:ascii="source serif 4" w:hAnsi="source serif 4"/>
          <w:i/>
          <w:color w:val="000000"/>
        </w:rPr>
        <w:t>JAMIA</w:t>
      </w:r>
      <w:r>
        <w:rPr>
          <w:rFonts w:eastAsia="source serif 4" w:cs="source serif 4" w:ascii="source serif 4" w:hAnsi="source serif 4"/>
          <w:color w:val="000000"/>
        </w:rPr>
        <w:t>, 2016.</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ource serif 4">
    <w:charset w:val="01" w:characterSet="utf-8"/>
    <w:family w:val="roman"/>
    <w:pitch w:val="variable"/>
  </w:font>
  <w:font w:name="menlo">
    <w:charset w:val="01" w:characterSet="utf-8"/>
    <w:family w:val="roman"/>
    <w:pitch w:val="variable"/>
  </w:font>
  <w:font w:name="source sans 3">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cs-CZ"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cs-CZ"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ngium.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LibreOffice/26.2.4.2$Windows_X86_64 LibreOffice_project/0229ac93fcf0d7cbc6376066c6f35021cef002dc</Application>
  <AppVersion>15.0000</AppVersion>
  <Pages>7</Pages>
  <Words>1693</Words>
  <Characters>10937</Characters>
  <CharactersWithSpaces>12568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2026-07-13T20:02:50Z</dcterms:created>
  <dc:creator>html-to-docx</dc:creator>
  <dc:description/>
  <cp:keywords>html-to-docx</cp:keywords>
  <dc:language>zh-CN</dc:language>
  <cp:lastModifiedBy/>
  <dcterms:modified xsi:type="dcterms:W3CDTF">2026-07-13T16:18:17Z</dcterms:modified>
  <cp:revision>6</cp:revision>
  <dc:subject/>
  <dc:title/>
</cp:coreProperties>
</file>