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Aptos Display" w:hAnsi="Aptos Display"/>
          <w:b/>
          <w:color w:val="43A047"/>
          <w:sz w:val="26"/>
        </w:rPr>
        <w:t>FIRST VOLO MORPHOLOGY</w:t>
      </w:r>
    </w:p>
    <w:p>
      <w:pPr>
        <w:spacing w:before="120" w:after="160"/>
        <w:jc w:val="center"/>
      </w:pPr>
      <w:r>
        <w:rPr>
          <w:rFonts w:ascii="Aptos Display" w:hAnsi="Aptos Display"/>
          <w:b/>
          <w:color w:val="17365F"/>
          <w:sz w:val="56"/>
        </w:rPr>
        <w:t>Connected-Text Excerpt System</w:t>
      </w:r>
    </w:p>
    <w:p>
      <w:pPr>
        <w:jc w:val="center"/>
      </w:pPr>
      <w:r>
        <w:rPr>
          <w:i/>
          <w:color w:val="2876BB"/>
          <w:sz w:val="25"/>
        </w:rPr>
        <w:t>Planning, Architecture, Specifications, Protection Rules, Source Strategy, Candidate Bank, and Handoff Notes</w:t>
      </w:r>
    </w:p>
    <w:p>
      <w:pPr>
        <w:spacing w:before="440"/>
        <w:jc w:val="center"/>
      </w:pPr>
      <w:r>
        <w:rPr>
          <w:color w:val="5C6875"/>
          <w:sz w:val="21"/>
        </w:rPr>
        <w:t>Current working state: August 20, 2026</w:t>
      </w:r>
    </w:p>
    <w:p>
      <w:pPr>
        <w:spacing w:before="600"/>
        <w:ind w:left="792" w:right="792"/>
        <w:jc w:val="center"/>
        <w:shd w:fill="F5F9FF"/>
        <w:pBdr>
          <w:left w:val="single" w:sz="18" w:space="8" w:color="2876BB"/>
        </w:pBdr>
      </w:pPr>
      <w:r>
        <w:rPr>
          <w:b/>
          <w:color w:val="17365F"/>
        </w:rPr>
        <w:t xml:space="preserve">Purpose of this document. </w:t>
      </w:r>
      <w:r>
        <w:t>This is a self-contained handoff for a new planning thread. It captures the decisions and specifications developed in the excerpt-planning thread so the work can continue without reconstructing the logic from chat history.</w:t>
      </w:r>
    </w:p>
    <w:p>
      <w:pPr>
        <w:spacing w:before="280"/>
        <w:jc w:val="center"/>
      </w:pPr>
      <w:r>
        <w:rPr>
          <w:b/>
        </w:rPr>
        <w:t xml:space="preserve">Scope boundary: </w:t>
      </w:r>
      <w:r>
        <w:t>the dynamic instructional-guidance implementation is being built in a separate thread. This document specifies how the excerpt system should feed that guidance flow; it does not replace or redesign the guidance engine.</w:t>
      </w:r>
    </w:p>
    <w:p>
      <w:r>
        <w:br w:type="page"/>
      </w:r>
    </w:p>
    <w:p>
      <w:pPr>
        <w:pStyle w:val="Heading1"/>
        <w:keepNext/>
      </w:pPr>
      <w:r>
        <w:t>Contents</w:t>
      </w:r>
    </w:p>
    <w:p>
      <w:pPr>
        <w:spacing w:after="40"/>
      </w:pPr>
      <w:r>
        <w:t>1. Executive decisions and current status</w:t>
      </w:r>
    </w:p>
    <w:p>
      <w:pPr>
        <w:spacing w:after="40"/>
      </w:pPr>
      <w:r>
        <w:t>2. What the excerpt system is for</w:t>
      </w:r>
    </w:p>
    <w:p>
      <w:pPr>
        <w:spacing w:after="40"/>
      </w:pPr>
      <w:r>
        <w:t>3. One shared bank, multiple surfaces</w:t>
      </w:r>
    </w:p>
    <w:p>
      <w:pPr>
        <w:spacing w:after="40"/>
      </w:pPr>
      <w:r>
        <w:t>4. Instructional progression and where connected text fits</w:t>
      </w:r>
    </w:p>
    <w:p>
      <w:pPr>
        <w:spacing w:after="40"/>
      </w:pPr>
      <w:r>
        <w:t>5. Practice Flight vs. passage reading demand</w:t>
      </w:r>
    </w:p>
    <w:p>
      <w:pPr>
        <w:spacing w:after="40"/>
      </w:pPr>
      <w:r>
        <w:t>6. Terminology rules</w:t>
      </w:r>
    </w:p>
    <w:p>
      <w:pPr>
        <w:spacing w:after="40"/>
      </w:pPr>
      <w:r>
        <w:t>7. Passage purposes and surface eligibility</w:t>
      </w:r>
    </w:p>
    <w:p>
      <w:pPr>
        <w:spacing w:after="40"/>
      </w:pPr>
      <w:r>
        <w:t>8. Assessment and transfer protection architecture</w:t>
      </w:r>
    </w:p>
    <w:p>
      <w:pPr>
        <w:spacing w:after="40"/>
      </w:pPr>
      <w:r>
        <w:t>9. Pre/post logic that must remain intact</w:t>
      </w:r>
    </w:p>
    <w:p>
      <w:pPr>
        <w:spacing w:after="40"/>
      </w:pPr>
      <w:r>
        <w:t>10. Migration Challenge logic that must remain intact</w:t>
      </w:r>
    </w:p>
    <w:p>
      <w:pPr>
        <w:spacing w:after="40"/>
      </w:pPr>
      <w:r>
        <w:t>11. Connected-text transfer: future third protected pool</w:t>
      </w:r>
    </w:p>
    <w:p>
      <w:pPr>
        <w:spacing w:after="40"/>
      </w:pPr>
      <w:r>
        <w:t>12. Science-of-reading-safe use of context</w:t>
      </w:r>
    </w:p>
    <w:p>
      <w:pPr>
        <w:spacing w:after="40"/>
      </w:pPr>
      <w:r>
        <w:t>13. Source strategy and interestingness requirements</w:t>
      </w:r>
    </w:p>
    <w:p>
      <w:pPr>
        <w:spacing w:after="40"/>
      </w:pPr>
      <w:r>
        <w:t>14. Rights and attribution rules</w:t>
      </w:r>
    </w:p>
    <w:p>
      <w:pPr>
        <w:spacing w:after="40"/>
      </w:pPr>
      <w:r>
        <w:t>15. Lexile/readability policy</w:t>
      </w:r>
    </w:p>
    <w:p>
      <w:pPr>
        <w:spacing w:after="40"/>
      </w:pPr>
      <w:r>
        <w:t>16. Passage-length and difficulty specifications</w:t>
      </w:r>
    </w:p>
    <w:p>
      <w:pPr>
        <w:spacing w:after="40"/>
      </w:pPr>
      <w:r>
        <w:t>17. Recommended excerpt-bank metadata schema</w:t>
      </w:r>
    </w:p>
    <w:p>
      <w:pPr>
        <w:spacing w:after="40"/>
      </w:pPr>
      <w:r>
        <w:t>18. Teacher Guidance -&gt; Apply interface contract</w:t>
      </w:r>
    </w:p>
    <w:p>
      <w:pPr>
        <w:spacing w:after="40"/>
      </w:pPr>
      <w:r>
        <w:t>19. Future main activity: Read It / In Context</w:t>
      </w:r>
    </w:p>
    <w:p>
      <w:pPr>
        <w:spacing w:after="40"/>
      </w:pPr>
      <w:r>
        <w:t>20. Extension activities</w:t>
      </w:r>
    </w:p>
    <w:p>
      <w:pPr>
        <w:spacing w:after="40"/>
      </w:pPr>
      <w:r>
        <w:t>21. Current v3 candidate bank: 14 excerpts</w:t>
      </w:r>
    </w:p>
    <w:p>
      <w:pPr>
        <w:spacing w:after="40"/>
      </w:pPr>
      <w:r>
        <w:t>22. Coverage-audit plan and expansion workflow</w:t>
      </w:r>
    </w:p>
    <w:p>
      <w:pPr>
        <w:spacing w:after="40"/>
      </w:pPr>
      <w:r>
        <w:t>23. Source pools to mine next</w:t>
      </w:r>
    </w:p>
    <w:p>
      <w:pPr>
        <w:spacing w:after="40"/>
      </w:pPr>
      <w:r>
        <w:t>24. Build-time protection guard</w:t>
      </w:r>
    </w:p>
    <w:p>
      <w:pPr>
        <w:spacing w:after="40"/>
      </w:pPr>
      <w:r>
        <w:t>25. Implementation sequence</w:t>
      </w:r>
    </w:p>
    <w:p>
      <w:pPr>
        <w:spacing w:after="40"/>
      </w:pPr>
      <w:r>
        <w:t>26. What not to do</w:t>
      </w:r>
    </w:p>
    <w:p>
      <w:pPr>
        <w:spacing w:after="40"/>
      </w:pPr>
      <w:r>
        <w:t>27. Open questions / decisions not yet locked</w:t>
      </w:r>
    </w:p>
    <w:p>
      <w:pPr>
        <w:spacing w:after="40"/>
      </w:pPr>
      <w:r>
        <w:t>28. Current files and version status</w:t>
      </w:r>
    </w:p>
    <w:p>
      <w:pPr>
        <w:spacing w:after="40"/>
      </w:pPr>
      <w:r>
        <w:t>29. Handoff prompt for the next thread</w:t>
      </w:r>
    </w:p>
    <w:p>
      <w:pPr>
        <w:spacing w:after="40"/>
      </w:pPr>
      <w:r>
        <w:t>Appendix A. Full current candidate excerpts</w:t>
      </w:r>
    </w:p>
    <w:p>
      <w:pPr>
        <w:spacing w:after="40"/>
      </w:pPr>
      <w:r>
        <w:t>Appendix B. Protected-word registries</w:t>
      </w:r>
    </w:p>
    <w:p>
      <w:pPr>
        <w:spacing w:after="40"/>
      </w:pPr>
      <w:r>
        <w:t>Appendix C. Source references</w:t>
      </w:r>
    </w:p>
    <w:p>
      <w:r>
        <w:br w:type="page"/>
      </w:r>
    </w:p>
    <w:p>
      <w:pPr>
        <w:pStyle w:val="Heading1"/>
        <w:keepNext/>
      </w:pPr>
      <w:r>
        <w:t>1. Executive decisions and current status</w:t>
      </w:r>
    </w:p>
    <w:p>
      <w:pPr>
        <w:keepLines/>
        <w:spacing w:before="100" w:after="160"/>
        <w:ind w:left="173" w:right="173"/>
        <w:shd w:fill="F5F9FF"/>
        <w:pBdr>
          <w:left w:val="single" w:sz="18" w:space="8" w:color="2876BB"/>
        </w:pBdr>
      </w:pPr>
      <w:r>
        <w:rPr>
          <w:b/>
          <w:color w:val="17365F"/>
        </w:rPr>
        <w:t xml:space="preserve">Current direction: </w:t>
      </w:r>
      <w:r>
        <w:t>Build a protected, metadata-rich connected-text excerpt bank first. Use it initially to feed Teacher Guidance -&gt; Apply. Later, use the same bank for a student-facing connected-text activity and selected extension activities. Do not duplicate passages into separate hard-coded lists.</w:t>
      </w:r>
    </w:p>
    <w:p>
      <w:pPr>
        <w:pStyle w:val="ListBullet"/>
      </w:pPr>
      <w:r>
        <w:t>This thread is now excerpt planning only. Instructional-guidance implementation work is intentionally happening elsewhere.</w:t>
      </w:r>
    </w:p>
    <w:p>
      <w:pPr>
        <w:pStyle w:val="ListBullet"/>
      </w:pPr>
      <w:r>
        <w:t>The current working excerpt bank is v3 with 14 candidates. It is not yet wired into the live site.</w:t>
      </w:r>
    </w:p>
    <w:p>
      <w:pPr>
        <w:pStyle w:val="ListBullet"/>
      </w:pPr>
      <w:r>
        <w:t>The bank must be driven by the actual First Volo Scope &amp; Sequence / Curriculum Map and the live word inventory, not by random interesting passages.</w:t>
      </w:r>
    </w:p>
    <w:p>
      <w:pPr>
        <w:pStyle w:val="ListBullet"/>
      </w:pPr>
      <w:r>
        <w:t>Formal pre/post targets and the Migration Challenge reserved words must remain clean and usable. Excerpt selection must never contaminate them.</w:t>
      </w:r>
    </w:p>
    <w:p>
      <w:pPr>
        <w:pStyle w:val="ListBullet"/>
      </w:pPr>
      <w:r>
        <w:t>Practice Flight and passage reading demand are separate dimensions. A Flight B morpheme can appear in a more demanding passage; the passage can be adapted while preserving the same morphology target.</w:t>
      </w:r>
    </w:p>
    <w:p>
      <w:pPr>
        <w:pStyle w:val="ListBullet"/>
      </w:pPr>
      <w:r>
        <w:t>Interestingness is a hard curation requirement, not an optional bonus.</w:t>
      </w:r>
    </w:p>
    <w:p>
      <w:pPr>
        <w:pStyle w:val="ListBullet"/>
      </w:pPr>
      <w:r>
        <w:t>Modern U.S. federal science/nature sources are the preferred nonfiction backbone. Carefully selected U.S. public-domain literature can provide narrative/myth/adventure text.</w:t>
      </w:r>
    </w:p>
    <w:p>
      <w:pPr>
        <w:pStyle w:val="ListBullet"/>
      </w:pPr>
      <w:r>
        <w:t>Lexile is an internal cross-check only. It must not determine Practice Flight, and unofficial educator-generated ranges should not be published as First Volo Lexile measures.</w:t>
      </w:r>
    </w:p>
    <w:p>
      <w:pPr>
        <w:pStyle w:val="ListBullet"/>
      </w:pPr>
      <w:r>
        <w:t>Connected text should use context to confirm/refine meaning after word recognition; it should not encourage guessing the identity of a word from context or pictures.</w:t>
      </w:r>
    </w:p>
    <w:p>
      <w:pPr>
        <w:pStyle w:val="Heading1"/>
        <w:keepNext/>
      </w:pPr>
      <w:r>
        <w:t>2. What the excerpt system is for</w:t>
      </w:r>
    </w:p>
    <w:p>
      <w:r>
        <w:t>The excerpt system is the bridge between isolated morphology practice and morphology in real reading. It should let students apply known word parts in genuinely interesting connected text without collapsing morphology, reading difficulty, assessment, and transfer into one variable.</w:t>
      </w:r>
    </w:p>
    <w:p>
      <w:pPr>
        <w:pStyle w:val="Heading2"/>
        <w:keepNext/>
      </w:pPr>
      <w:r>
        <w:t>Primary goals</w:t>
      </w:r>
    </w:p>
    <w:p>
      <w:pPr>
        <w:pStyle w:val="ListBullet"/>
      </w:pPr>
      <w:r>
        <w:t>Give a student meaningful connected-text practice with the exact morpheme/family being taught.</w:t>
      </w:r>
    </w:p>
    <w:p>
      <w:pPr>
        <w:pStyle w:val="ListBullet"/>
      </w:pPr>
      <w:r>
        <w:t>Make morphology-to-context reasoning explicit: use a known morpheme to form a meaning hypothesis, then use the surrounding sentence/passage to confirm, revise, or reject it.</w:t>
      </w:r>
    </w:p>
    <w:p>
      <w:pPr>
        <w:pStyle w:val="ListBullet"/>
      </w:pPr>
      <w:r>
        <w:t>Give the Teacher Guidance flow a concrete Apply option instead of a generic instruction such as “use the target in context.”</w:t>
      </w:r>
    </w:p>
    <w:p>
      <w:pPr>
        <w:pStyle w:val="ListBullet"/>
      </w:pPr>
      <w:r>
        <w:t>Create a reusable content bank that can later support a student-facing connected-text activity without rebuilding the content system.</w:t>
      </w:r>
    </w:p>
    <w:p>
      <w:pPr>
        <w:pStyle w:val="ListBullet"/>
      </w:pPr>
      <w:r>
        <w:t>Provide optional, richer cross-curricular extension reading using the same target morphology.</w:t>
      </w:r>
    </w:p>
    <w:p>
      <w:pPr>
        <w:pStyle w:val="ListBullet"/>
      </w:pPr>
      <w:r>
        <w:t>Preserve independent transfer evidence by keeping protected transfer items completely separate from ordinary instruction and application.</w:t>
      </w:r>
    </w:p>
    <w:p>
      <w:pPr>
        <w:pStyle w:val="Heading1"/>
        <w:keepNext/>
      </w:pPr>
      <w:r>
        <w:t>3. One shared bank, multiple surfaces</w:t>
      </w:r>
    </w:p>
    <w:p>
      <w:r>
        <w:t>The recommended architecture is one shared excerpt bank with metadata that controls where each passage is allowed to surface. This avoids duplicated passage sets, inconsistent revisions, and accidental protection failures.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F"/>
            <w:tcMar>
              <w:top w:w="90" w:type="dxa"/>
              <w:start w:w="90" w:type="dxa"/>
              <w:bottom w:w="90" w:type="dxa"/>
              <w:end w:w="90" w:type="dxa"/>
            </w:tcMar>
          </w:tcPr>
          <w:p>
            <w:pPr>
              <w:spacing w:after="40"/>
            </w:pPr>
            <w:r>
              <w:rPr>
                <w:b/>
                <w:color w:val="FFFFFF"/>
                <w:sz w:val="18"/>
              </w:rPr>
              <w:t>Surface</w:t>
            </w:r>
          </w:p>
        </w:tc>
        <w:tc>
          <w:tcPr>
            <w:tcW w:type="dxa" w:w="2541"/>
            <w:shd w:fill="17365F"/>
            <w:tcMar>
              <w:top w:w="90" w:type="dxa"/>
              <w:start w:w="90" w:type="dxa"/>
              <w:bottom w:w="90" w:type="dxa"/>
              <w:end w:w="90" w:type="dxa"/>
            </w:tcMar>
          </w:tcPr>
          <w:p>
            <w:pPr>
              <w:spacing w:after="40"/>
            </w:pPr>
            <w:r>
              <w:rPr>
                <w:b/>
                <w:color w:val="FFFFFF"/>
                <w:sz w:val="18"/>
              </w:rPr>
              <w:t>Excerpt role</w:t>
            </w:r>
          </w:p>
        </w:tc>
        <w:tc>
          <w:tcPr>
            <w:tcW w:type="dxa" w:w="2541"/>
            <w:shd w:fill="17365F"/>
            <w:tcMar>
              <w:top w:w="90" w:type="dxa"/>
              <w:start w:w="90" w:type="dxa"/>
              <w:bottom w:w="90" w:type="dxa"/>
              <w:end w:w="90" w:type="dxa"/>
            </w:tcMar>
          </w:tcPr>
          <w:p>
            <w:pPr>
              <w:spacing w:after="40"/>
            </w:pPr>
            <w:r>
              <w:rPr>
                <w:b/>
                <w:color w:val="FFFFFF"/>
                <w:sz w:val="18"/>
              </w:rPr>
              <w:t>Primary purpose</w:t>
            </w:r>
          </w:p>
        </w:tc>
        <w:tc>
          <w:tcPr>
            <w:tcW w:type="dxa" w:w="2541"/>
            <w:shd w:fill="17365F"/>
            <w:tcMar>
              <w:top w:w="90" w:type="dxa"/>
              <w:start w:w="90" w:type="dxa"/>
              <w:bottom w:w="90" w:type="dxa"/>
              <w:end w:w="90" w:type="dxa"/>
            </w:tcMar>
          </w:tcPr>
          <w:p>
            <w:pPr>
              <w:spacing w:after="40"/>
            </w:pPr>
            <w:r>
              <w:rPr>
                <w:b/>
                <w:color w:val="FFFFFF"/>
                <w:sz w:val="18"/>
              </w:rPr>
              <w:t>Scoring / protection</w:t>
            </w:r>
          </w:p>
        </w:tc>
      </w:tr>
      <w:tr>
        <w:trPr/>
        <w:tc>
          <w:tcPr>
            <w:tcW w:type="dxa" w:w="2541"/>
            <w:tcMar>
              <w:top w:w="90" w:type="dxa"/>
              <w:start w:w="90" w:type="dxa"/>
              <w:bottom w:w="90" w:type="dxa"/>
              <w:end w:w="90" w:type="dxa"/>
            </w:tcMar>
            <w:vAlign w:val="top"/>
          </w:tcPr>
          <w:p>
            <w:pPr>
              <w:spacing w:after="40"/>
            </w:pPr>
            <w:r>
              <w:rPr>
                <w:sz w:val="18"/>
              </w:rPr>
              <w:t>Teacher Guidance -&gt; Apply</w:t>
            </w:r>
          </w:p>
        </w:tc>
        <w:tc>
          <w:tcPr>
            <w:tcW w:type="dxa" w:w="2541"/>
            <w:tcMar>
              <w:top w:w="90" w:type="dxa"/>
              <w:start w:w="90" w:type="dxa"/>
              <w:bottom w:w="90" w:type="dxa"/>
              <w:end w:w="90" w:type="dxa"/>
            </w:tcMar>
            <w:vAlign w:val="top"/>
          </w:tcPr>
          <w:p>
            <w:pPr>
              <w:spacing w:after="40"/>
            </w:pPr>
            <w:r>
              <w:rPr>
                <w:sz w:val="18"/>
              </w:rPr>
              <w:t>Short, target-specific application excerpt</w:t>
            </w:r>
          </w:p>
        </w:tc>
        <w:tc>
          <w:tcPr>
            <w:tcW w:type="dxa" w:w="2541"/>
            <w:tcMar>
              <w:top w:w="90" w:type="dxa"/>
              <w:start w:w="90" w:type="dxa"/>
              <w:bottom w:w="90" w:type="dxa"/>
              <w:end w:w="90" w:type="dxa"/>
            </w:tcMar>
            <w:vAlign w:val="top"/>
          </w:tcPr>
          <w:p>
            <w:pPr>
              <w:spacing w:after="40"/>
            </w:pPr>
            <w:r>
              <w:rPr>
                <w:sz w:val="18"/>
              </w:rPr>
              <w:t>Apply the exact morpheme the student is currently working on</w:t>
            </w:r>
          </w:p>
        </w:tc>
        <w:tc>
          <w:tcPr>
            <w:tcW w:type="dxa" w:w="2541"/>
            <w:tcMar>
              <w:top w:w="90" w:type="dxa"/>
              <w:start w:w="90" w:type="dxa"/>
              <w:bottom w:w="90" w:type="dxa"/>
              <w:end w:w="90" w:type="dxa"/>
            </w:tcMar>
            <w:vAlign w:val="top"/>
          </w:tcPr>
          <w:p>
            <w:pPr>
              <w:spacing w:after="40"/>
            </w:pPr>
            <w:r>
              <w:rPr>
                <w:sz w:val="18"/>
              </w:rPr>
              <w:t>Not transfer; may be reusable elsewhere if non-protected</w:t>
            </w:r>
          </w:p>
        </w:tc>
      </w:tr>
      <w:tr>
        <w:trPr/>
        <w:tc>
          <w:tcPr>
            <w:tcW w:type="dxa" w:w="2541"/>
            <w:tcMar>
              <w:top w:w="90" w:type="dxa"/>
              <w:start w:w="90" w:type="dxa"/>
              <w:bottom w:w="90" w:type="dxa"/>
              <w:end w:w="90" w:type="dxa"/>
            </w:tcMar>
            <w:vAlign w:val="top"/>
          </w:tcPr>
          <w:p>
            <w:pPr>
              <w:spacing w:after="40"/>
            </w:pPr>
            <w:r>
              <w:rPr>
                <w:sz w:val="18"/>
              </w:rPr>
              <w:t>Future main activity</w:t>
            </w:r>
          </w:p>
        </w:tc>
        <w:tc>
          <w:tcPr>
            <w:tcW w:type="dxa" w:w="2541"/>
            <w:tcMar>
              <w:top w:w="90" w:type="dxa"/>
              <w:start w:w="90" w:type="dxa"/>
              <w:bottom w:w="90" w:type="dxa"/>
              <w:end w:w="90" w:type="dxa"/>
            </w:tcMar>
            <w:vAlign w:val="top"/>
          </w:tcPr>
          <w:p>
            <w:pPr>
              <w:spacing w:after="40"/>
            </w:pPr>
            <w:r>
              <w:rPr>
                <w:sz w:val="18"/>
              </w:rPr>
              <w:t>Short connected-text student item</w:t>
            </w:r>
          </w:p>
        </w:tc>
        <w:tc>
          <w:tcPr>
            <w:tcW w:type="dxa" w:w="2541"/>
            <w:tcMar>
              <w:top w:w="90" w:type="dxa"/>
              <w:start w:w="90" w:type="dxa"/>
              <w:bottom w:w="90" w:type="dxa"/>
              <w:end w:w="90" w:type="dxa"/>
            </w:tcMar>
            <w:vAlign w:val="top"/>
          </w:tcPr>
          <w:p>
            <w:pPr>
              <w:spacing w:after="40"/>
            </w:pPr>
            <w:r>
              <w:rPr>
                <w:sz w:val="18"/>
              </w:rPr>
              <w:t>Independent morphology + context practice</w:t>
            </w:r>
          </w:p>
        </w:tc>
        <w:tc>
          <w:tcPr>
            <w:tcW w:type="dxa" w:w="2541"/>
            <w:tcMar>
              <w:top w:w="90" w:type="dxa"/>
              <w:start w:w="90" w:type="dxa"/>
              <w:bottom w:w="90" w:type="dxa"/>
              <w:end w:w="90" w:type="dxa"/>
            </w:tcMar>
            <w:vAlign w:val="top"/>
          </w:tcPr>
          <w:p>
            <w:pPr>
              <w:spacing w:after="40"/>
            </w:pPr>
            <w:r>
              <w:rPr>
                <w:sz w:val="18"/>
              </w:rPr>
              <w:t>May be scored as ordinary practice; must not use protected words</w:t>
            </w:r>
          </w:p>
        </w:tc>
      </w:tr>
      <w:tr>
        <w:trPr/>
        <w:tc>
          <w:tcPr>
            <w:tcW w:type="dxa" w:w="2541"/>
            <w:tcMar>
              <w:top w:w="90" w:type="dxa"/>
              <w:start w:w="90" w:type="dxa"/>
              <w:bottom w:w="90" w:type="dxa"/>
              <w:end w:w="90" w:type="dxa"/>
            </w:tcMar>
            <w:vAlign w:val="top"/>
          </w:tcPr>
          <w:p>
            <w:pPr>
              <w:spacing w:after="40"/>
            </w:pPr>
            <w:r>
              <w:rPr>
                <w:sz w:val="18"/>
              </w:rPr>
              <w:t>Extend the Learning</w:t>
            </w:r>
          </w:p>
        </w:tc>
        <w:tc>
          <w:tcPr>
            <w:tcW w:type="dxa" w:w="2541"/>
            <w:tcMar>
              <w:top w:w="90" w:type="dxa"/>
              <w:start w:w="90" w:type="dxa"/>
              <w:bottom w:w="90" w:type="dxa"/>
              <w:end w:w="90" w:type="dxa"/>
            </w:tcMar>
            <w:vAlign w:val="top"/>
          </w:tcPr>
          <w:p>
            <w:pPr>
              <w:spacing w:after="40"/>
            </w:pPr>
            <w:r>
              <w:rPr>
                <w:sz w:val="18"/>
              </w:rPr>
              <w:t>Longer or richer source/adaptation</w:t>
            </w:r>
          </w:p>
        </w:tc>
        <w:tc>
          <w:tcPr>
            <w:tcW w:type="dxa" w:w="2541"/>
            <w:tcMar>
              <w:top w:w="90" w:type="dxa"/>
              <w:start w:w="90" w:type="dxa"/>
              <w:bottom w:w="90" w:type="dxa"/>
              <w:end w:w="90" w:type="dxa"/>
            </w:tcMar>
            <w:vAlign w:val="top"/>
          </w:tcPr>
          <w:p>
            <w:pPr>
              <w:spacing w:after="40"/>
            </w:pPr>
            <w:r>
              <w:rPr>
                <w:sz w:val="18"/>
              </w:rPr>
              <w:t>Cross-curricular enrichment, broader reading, content connection</w:t>
            </w:r>
          </w:p>
        </w:tc>
        <w:tc>
          <w:tcPr>
            <w:tcW w:type="dxa" w:w="2541"/>
            <w:tcMar>
              <w:top w:w="90" w:type="dxa"/>
              <w:start w:w="90" w:type="dxa"/>
              <w:bottom w:w="90" w:type="dxa"/>
              <w:end w:w="90" w:type="dxa"/>
            </w:tcMar>
            <w:vAlign w:val="top"/>
          </w:tcPr>
          <w:p>
            <w:pPr>
              <w:spacing w:after="40"/>
            </w:pPr>
            <w:r>
              <w:rPr>
                <w:sz w:val="18"/>
              </w:rPr>
              <w:t>Prefer unscored exposure/application; should not affect mastery</w:t>
            </w:r>
          </w:p>
        </w:tc>
      </w:tr>
      <w:tr>
        <w:trPr/>
        <w:tc>
          <w:tcPr>
            <w:tcW w:type="dxa" w:w="2541"/>
            <w:tcMar>
              <w:top w:w="90" w:type="dxa"/>
              <w:start w:w="90" w:type="dxa"/>
              <w:bottom w:w="90" w:type="dxa"/>
              <w:end w:w="90" w:type="dxa"/>
            </w:tcMar>
            <w:vAlign w:val="top"/>
          </w:tcPr>
          <w:p>
            <w:pPr>
              <w:spacing w:after="40"/>
            </w:pPr>
            <w:r>
              <w:rPr>
                <w:sz w:val="18"/>
              </w:rPr>
              <w:t>Check Transfer</w:t>
            </w:r>
          </w:p>
        </w:tc>
        <w:tc>
          <w:tcPr>
            <w:tcW w:type="dxa" w:w="2541"/>
            <w:tcMar>
              <w:top w:w="90" w:type="dxa"/>
              <w:start w:w="90" w:type="dxa"/>
              <w:bottom w:w="90" w:type="dxa"/>
              <w:end w:w="90" w:type="dxa"/>
            </w:tcMar>
            <w:vAlign w:val="top"/>
          </w:tcPr>
          <w:p>
            <w:pPr>
              <w:spacing w:after="40"/>
            </w:pPr>
            <w:r>
              <w:rPr>
                <w:sz w:val="18"/>
              </w:rPr>
              <w:t>Separate reserved excerpt/item</w:t>
            </w:r>
          </w:p>
        </w:tc>
        <w:tc>
          <w:tcPr>
            <w:tcW w:type="dxa" w:w="2541"/>
            <w:tcMar>
              <w:top w:w="90" w:type="dxa"/>
              <w:start w:w="90" w:type="dxa"/>
              <w:bottom w:w="90" w:type="dxa"/>
              <w:end w:w="90" w:type="dxa"/>
            </w:tcMar>
            <w:vAlign w:val="top"/>
          </w:tcPr>
          <w:p>
            <w:pPr>
              <w:spacing w:after="40"/>
            </w:pPr>
            <w:r>
              <w:rPr>
                <w:sz w:val="18"/>
              </w:rPr>
              <w:t>Evidence that the learner can apply a known morpheme in a new whole word</w:t>
            </w:r>
          </w:p>
        </w:tc>
        <w:tc>
          <w:tcPr>
            <w:tcW w:type="dxa" w:w="2541"/>
            <w:tcMar>
              <w:top w:w="90" w:type="dxa"/>
              <w:start w:w="90" w:type="dxa"/>
              <w:bottom w:w="90" w:type="dxa"/>
              <w:end w:w="90" w:type="dxa"/>
            </w:tcMar>
            <w:vAlign w:val="top"/>
          </w:tcPr>
          <w:p>
            <w:pPr>
              <w:spacing w:after="40"/>
            </w:pPr>
            <w:r>
              <w:rPr>
                <w:sz w:val="18"/>
              </w:rPr>
              <w:t>Protected; never shown in ordinary instruction/application</w:t>
            </w:r>
          </w:p>
        </w:tc>
      </w:tr>
    </w:tbl>
    <w:p>
      <w:pPr>
        <w:keepLines/>
        <w:spacing w:before="100" w:after="160"/>
        <w:ind w:left="173" w:right="173"/>
        <w:shd w:fill="F5F9FF"/>
        <w:pBdr>
          <w:left w:val="single" w:sz="18" w:space="8" w:color="2876BB"/>
        </w:pBdr>
      </w:pPr>
      <w:r>
        <w:rPr>
          <w:b/>
          <w:color w:val="17365F"/>
        </w:rPr>
        <w:t xml:space="preserve">Important reuse rule: </w:t>
      </w:r>
      <w:r>
        <w:t>A non-protected passage may be eligible for more than one surface (for example Teacher Apply + future Read It + Extension). A protected-transfer passage may appear only in transfer.</w:t>
      </w:r>
    </w:p>
    <w:p>
      <w:pPr>
        <w:pStyle w:val="Heading1"/>
        <w:keepNext/>
      </w:pPr>
      <w:r>
        <w:t>4. Instructional progression and where connected text fits</w:t>
      </w:r>
    </w:p>
    <w:p>
      <w:r>
        <w:t>Current First Volo activity progression:</w:t>
      </w:r>
    </w:p>
    <w:p>
      <w:pPr>
        <w:pStyle w:val="CodeBlock"/>
      </w:pPr>
      <w:r>
        <w:t>Learn -&gt; Find -&gt; Word Hunt -&gt; Meaning -&gt; Word Part -&gt; Break It Apart -&gt; Figure It Out -&gt; Build Words -&gt; Use It -&gt; Change It</w:t>
      </w:r>
    </w:p>
    <w:p>
      <w:r>
        <w:t>Each existing activity already has a distinct job. Connected text should add a new level of integration rather than being forced into an activity that already measures something else.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876BB"/>
          </w:tcPr>
          <w:p>
            <w:pPr>
              <w:spacing w:after="40"/>
            </w:pPr>
            <w:r>
              <w:rPr>
                <w:b/>
                <w:color w:val="FFFFFF"/>
                <w:sz w:val="18"/>
              </w:rPr>
              <w:t>Stage</w:t>
            </w:r>
          </w:p>
        </w:tc>
        <w:tc>
          <w:tcPr>
            <w:tcW w:type="dxa" w:w="5083"/>
            <w:shd w:fill="2876BB"/>
          </w:tcPr>
          <w:p>
            <w:pPr>
              <w:spacing w:after="40"/>
            </w:pPr>
            <w:r>
              <w:rPr>
                <w:b/>
                <w:color w:val="FFFFFF"/>
                <w:sz w:val="18"/>
              </w:rPr>
              <w:t>Instructional job</w:t>
            </w:r>
          </w:p>
        </w:tc>
      </w:tr>
      <w:tr>
        <w:trPr/>
        <w:tc>
          <w:tcPr>
            <w:tcW w:type="dxa" w:w="5083"/>
            <w:tcMar>
              <w:top w:w="90" w:type="dxa"/>
              <w:start w:w="90" w:type="dxa"/>
              <w:bottom w:w="90" w:type="dxa"/>
              <w:end w:w="90" w:type="dxa"/>
            </w:tcMar>
          </w:tcPr>
          <w:p>
            <w:pPr>
              <w:spacing w:after="40"/>
            </w:pPr>
            <w:r>
              <w:rPr>
                <w:sz w:val="18"/>
              </w:rPr>
              <w:t>Find</w:t>
            </w:r>
          </w:p>
        </w:tc>
        <w:tc>
          <w:tcPr>
            <w:tcW w:type="dxa" w:w="5083"/>
            <w:tcMar>
              <w:top w:w="90" w:type="dxa"/>
              <w:start w:w="90" w:type="dxa"/>
              <w:bottom w:w="90" w:type="dxa"/>
              <w:end w:w="90" w:type="dxa"/>
            </w:tcMar>
          </w:tcPr>
          <w:p>
            <w:pPr>
              <w:spacing w:after="40"/>
            </w:pPr>
            <w:r>
              <w:rPr>
                <w:sz w:val="18"/>
              </w:rPr>
              <w:t>Identify the target morpheme inside a word.</w:t>
            </w:r>
          </w:p>
        </w:tc>
      </w:tr>
      <w:tr>
        <w:trPr/>
        <w:tc>
          <w:tcPr>
            <w:tcW w:type="dxa" w:w="5083"/>
            <w:tcMar>
              <w:top w:w="90" w:type="dxa"/>
              <w:start w:w="90" w:type="dxa"/>
              <w:bottom w:w="90" w:type="dxa"/>
              <w:end w:w="90" w:type="dxa"/>
            </w:tcMar>
          </w:tcPr>
          <w:p>
            <w:pPr>
              <w:spacing w:after="40"/>
            </w:pPr>
            <w:r>
              <w:rPr>
                <w:sz w:val="18"/>
              </w:rPr>
              <w:t>Word Hunt</w:t>
            </w:r>
          </w:p>
        </w:tc>
        <w:tc>
          <w:tcPr>
            <w:tcW w:type="dxa" w:w="5083"/>
            <w:tcMar>
              <w:top w:w="90" w:type="dxa"/>
              <w:start w:w="90" w:type="dxa"/>
              <w:bottom w:w="90" w:type="dxa"/>
              <w:end w:w="90" w:type="dxa"/>
            </w:tcMar>
          </w:tcPr>
          <w:p>
            <w:pPr>
              <w:spacing w:after="40"/>
            </w:pPr>
            <w:r>
              <w:rPr>
                <w:sz w:val="18"/>
              </w:rPr>
              <w:t>Recognize the target across multiple words.</w:t>
            </w:r>
          </w:p>
        </w:tc>
      </w:tr>
      <w:tr>
        <w:trPr/>
        <w:tc>
          <w:tcPr>
            <w:tcW w:type="dxa" w:w="5083"/>
            <w:tcMar>
              <w:top w:w="90" w:type="dxa"/>
              <w:start w:w="90" w:type="dxa"/>
              <w:bottom w:w="90" w:type="dxa"/>
              <w:end w:w="90" w:type="dxa"/>
            </w:tcMar>
          </w:tcPr>
          <w:p>
            <w:pPr>
              <w:spacing w:after="40"/>
            </w:pPr>
            <w:r>
              <w:rPr>
                <w:sz w:val="18"/>
              </w:rPr>
              <w:t>Meaning</w:t>
            </w:r>
          </w:p>
        </w:tc>
        <w:tc>
          <w:tcPr>
            <w:tcW w:type="dxa" w:w="5083"/>
            <w:tcMar>
              <w:top w:w="90" w:type="dxa"/>
              <w:start w:w="90" w:type="dxa"/>
              <w:bottom w:w="90" w:type="dxa"/>
              <w:end w:w="90" w:type="dxa"/>
            </w:tcMar>
          </w:tcPr>
          <w:p>
            <w:pPr>
              <w:spacing w:after="40"/>
            </w:pPr>
            <w:r>
              <w:rPr>
                <w:sz w:val="18"/>
              </w:rPr>
              <w:t>Recall/select the morpheme meaning.</w:t>
            </w:r>
          </w:p>
        </w:tc>
      </w:tr>
      <w:tr>
        <w:trPr/>
        <w:tc>
          <w:tcPr>
            <w:tcW w:type="dxa" w:w="5083"/>
            <w:tcMar>
              <w:top w:w="90" w:type="dxa"/>
              <w:start w:w="90" w:type="dxa"/>
              <w:bottom w:w="90" w:type="dxa"/>
              <w:end w:w="90" w:type="dxa"/>
            </w:tcMar>
          </w:tcPr>
          <w:p>
            <w:pPr>
              <w:spacing w:after="40"/>
            </w:pPr>
            <w:r>
              <w:rPr>
                <w:sz w:val="18"/>
              </w:rPr>
              <w:t>Word Part</w:t>
            </w:r>
          </w:p>
        </w:tc>
        <w:tc>
          <w:tcPr>
            <w:tcW w:type="dxa" w:w="5083"/>
            <w:tcMar>
              <w:top w:w="90" w:type="dxa"/>
              <w:start w:w="90" w:type="dxa"/>
              <w:bottom w:w="90" w:type="dxa"/>
              <w:end w:w="90" w:type="dxa"/>
            </w:tcMar>
          </w:tcPr>
          <w:p>
            <w:pPr>
              <w:spacing w:after="40"/>
            </w:pPr>
            <w:r>
              <w:rPr>
                <w:sz w:val="18"/>
              </w:rPr>
              <w:t>Retrieve/select the morpheme when given its meaning.</w:t>
            </w:r>
          </w:p>
        </w:tc>
      </w:tr>
      <w:tr>
        <w:trPr/>
        <w:tc>
          <w:tcPr>
            <w:tcW w:type="dxa" w:w="5083"/>
            <w:tcMar>
              <w:top w:w="90" w:type="dxa"/>
              <w:start w:w="90" w:type="dxa"/>
              <w:bottom w:w="90" w:type="dxa"/>
              <w:end w:w="90" w:type="dxa"/>
            </w:tcMar>
          </w:tcPr>
          <w:p>
            <w:pPr>
              <w:spacing w:after="40"/>
            </w:pPr>
            <w:r>
              <w:rPr>
                <w:sz w:val="18"/>
              </w:rPr>
              <w:t>Break It Apart</w:t>
            </w:r>
          </w:p>
        </w:tc>
        <w:tc>
          <w:tcPr>
            <w:tcW w:type="dxa" w:w="5083"/>
            <w:tcMar>
              <w:top w:w="90" w:type="dxa"/>
              <w:start w:w="90" w:type="dxa"/>
              <w:bottom w:w="90" w:type="dxa"/>
              <w:end w:w="90" w:type="dxa"/>
            </w:tcMar>
          </w:tcPr>
          <w:p>
            <w:pPr>
              <w:spacing w:after="40"/>
            </w:pPr>
            <w:r>
              <w:rPr>
                <w:sz w:val="18"/>
              </w:rPr>
              <w:t>Segment a whole word into meaningful parts.</w:t>
            </w:r>
          </w:p>
        </w:tc>
      </w:tr>
      <w:tr>
        <w:trPr/>
        <w:tc>
          <w:tcPr>
            <w:tcW w:type="dxa" w:w="5083"/>
            <w:tcMar>
              <w:top w:w="90" w:type="dxa"/>
              <w:start w:w="90" w:type="dxa"/>
              <w:bottom w:w="90" w:type="dxa"/>
              <w:end w:w="90" w:type="dxa"/>
            </w:tcMar>
          </w:tcPr>
          <w:p>
            <w:pPr>
              <w:spacing w:after="40"/>
            </w:pPr>
            <w:r>
              <w:rPr>
                <w:sz w:val="18"/>
              </w:rPr>
              <w:t>Figure It Out</w:t>
            </w:r>
          </w:p>
        </w:tc>
        <w:tc>
          <w:tcPr>
            <w:tcW w:type="dxa" w:w="5083"/>
            <w:tcMar>
              <w:top w:w="90" w:type="dxa"/>
              <w:start w:w="90" w:type="dxa"/>
              <w:bottom w:w="90" w:type="dxa"/>
              <w:end w:w="90" w:type="dxa"/>
            </w:tcMar>
          </w:tcPr>
          <w:p>
            <w:pPr>
              <w:spacing w:after="40"/>
            </w:pPr>
            <w:r>
              <w:rPr>
                <w:sz w:val="18"/>
              </w:rPr>
              <w:t>Infer the meaning of a single whole word using morphology, with context when appropriate.</w:t>
            </w:r>
          </w:p>
        </w:tc>
      </w:tr>
      <w:tr>
        <w:trPr/>
        <w:tc>
          <w:tcPr>
            <w:tcW w:type="dxa" w:w="5083"/>
            <w:tcMar>
              <w:top w:w="90" w:type="dxa"/>
              <w:start w:w="90" w:type="dxa"/>
              <w:bottom w:w="90" w:type="dxa"/>
              <w:end w:w="90" w:type="dxa"/>
            </w:tcMar>
          </w:tcPr>
          <w:p>
            <w:pPr>
              <w:spacing w:after="40"/>
            </w:pPr>
            <w:r>
              <w:rPr>
                <w:sz w:val="18"/>
              </w:rPr>
              <w:t>Build Words</w:t>
            </w:r>
          </w:p>
        </w:tc>
        <w:tc>
          <w:tcPr>
            <w:tcW w:type="dxa" w:w="5083"/>
            <w:tcMar>
              <w:top w:w="90" w:type="dxa"/>
              <w:start w:w="90" w:type="dxa"/>
              <w:bottom w:w="90" w:type="dxa"/>
              <w:end w:w="90" w:type="dxa"/>
            </w:tcMar>
          </w:tcPr>
          <w:p>
            <w:pPr>
              <w:spacing w:after="40"/>
            </w:pPr>
            <w:r>
              <w:rPr>
                <w:sz w:val="18"/>
              </w:rPr>
              <w:t>Combine morphemes to construct a real word from meaning.</w:t>
            </w:r>
          </w:p>
        </w:tc>
      </w:tr>
      <w:tr>
        <w:trPr/>
        <w:tc>
          <w:tcPr>
            <w:tcW w:type="dxa" w:w="5083"/>
            <w:tcMar>
              <w:top w:w="90" w:type="dxa"/>
              <w:start w:w="90" w:type="dxa"/>
              <w:bottom w:w="90" w:type="dxa"/>
              <w:end w:w="90" w:type="dxa"/>
            </w:tcMar>
          </w:tcPr>
          <w:p>
            <w:pPr>
              <w:spacing w:after="40"/>
            </w:pPr>
            <w:r>
              <w:rPr>
                <w:sz w:val="18"/>
              </w:rPr>
              <w:t>Use It</w:t>
            </w:r>
          </w:p>
        </w:tc>
        <w:tc>
          <w:tcPr>
            <w:tcW w:type="dxa" w:w="5083"/>
            <w:tcMar>
              <w:top w:w="90" w:type="dxa"/>
              <w:start w:w="90" w:type="dxa"/>
              <w:bottom w:w="90" w:type="dxa"/>
              <w:end w:w="90" w:type="dxa"/>
            </w:tcMar>
          </w:tcPr>
          <w:p>
            <w:pPr>
              <w:spacing w:after="40"/>
            </w:pPr>
            <w:r>
              <w:rPr>
                <w:sz w:val="18"/>
              </w:rPr>
              <w:t>Select/apply a morphologically appropriate word in sentence context.</w:t>
            </w:r>
          </w:p>
        </w:tc>
      </w:tr>
      <w:tr>
        <w:trPr/>
        <w:tc>
          <w:tcPr>
            <w:tcW w:type="dxa" w:w="5083"/>
            <w:tcMar>
              <w:top w:w="90" w:type="dxa"/>
              <w:start w:w="90" w:type="dxa"/>
              <w:bottom w:w="90" w:type="dxa"/>
              <w:end w:w="90" w:type="dxa"/>
            </w:tcMar>
          </w:tcPr>
          <w:p>
            <w:pPr>
              <w:spacing w:after="40"/>
            </w:pPr>
            <w:r>
              <w:rPr>
                <w:sz w:val="18"/>
              </w:rPr>
              <w:t>Change It</w:t>
            </w:r>
          </w:p>
        </w:tc>
        <w:tc>
          <w:tcPr>
            <w:tcW w:type="dxa" w:w="5083"/>
            <w:tcMar>
              <w:top w:w="90" w:type="dxa"/>
              <w:start w:w="90" w:type="dxa"/>
              <w:bottom w:w="90" w:type="dxa"/>
              <w:end w:w="90" w:type="dxa"/>
            </w:tcMar>
          </w:tcPr>
          <w:p>
            <w:pPr>
              <w:spacing w:after="40"/>
            </w:pPr>
            <w:r>
              <w:rPr>
                <w:sz w:val="18"/>
              </w:rPr>
              <w:t>Select the appropriate member of a morphological family for the sentence role.</w:t>
            </w:r>
          </w:p>
        </w:tc>
      </w:tr>
      <w:tr>
        <w:trPr/>
        <w:tc>
          <w:tcPr>
            <w:tcW w:type="dxa" w:w="5083"/>
            <w:tcMar>
              <w:top w:w="90" w:type="dxa"/>
              <w:start w:w="90" w:type="dxa"/>
              <w:bottom w:w="90" w:type="dxa"/>
              <w:end w:w="90" w:type="dxa"/>
            </w:tcMar>
          </w:tcPr>
          <w:p>
            <w:pPr>
              <w:spacing w:after="40"/>
            </w:pPr>
            <w:r>
              <w:rPr>
                <w:sz w:val="18"/>
              </w:rPr>
              <w:t>Future connected text</w:t>
            </w:r>
          </w:p>
        </w:tc>
        <w:tc>
          <w:tcPr>
            <w:tcW w:type="dxa" w:w="5083"/>
            <w:tcMar>
              <w:top w:w="90" w:type="dxa"/>
              <w:start w:w="90" w:type="dxa"/>
              <w:bottom w:w="90" w:type="dxa"/>
              <w:end w:w="90" w:type="dxa"/>
            </w:tcMar>
          </w:tcPr>
          <w:p>
            <w:pPr>
              <w:spacing w:after="40"/>
            </w:pPr>
            <w:r>
              <w:rPr>
                <w:sz w:val="18"/>
              </w:rPr>
              <w:t>Sustain morphology + context reasoning across several sentences of authentic/interesting prose.</w:t>
            </w:r>
          </w:p>
        </w:tc>
      </w:tr>
    </w:tbl>
    <w:p>
      <w:pPr>
        <w:keepLines/>
        <w:spacing w:before="100" w:after="160"/>
        <w:ind w:left="173" w:right="173"/>
        <w:shd w:fill="F1F8F2"/>
        <w:pBdr>
          <w:left w:val="single" w:sz="18" w:space="8" w:color="43A047"/>
        </w:pBdr>
      </w:pPr>
      <w:r>
        <w:rPr>
          <w:b/>
          <w:color w:val="17365F"/>
        </w:rPr>
        <w:t xml:space="preserve">Planning recommendation: </w:t>
      </w:r>
      <w:r>
        <w:t>Do not build the new main connected-text activity yet. First build enough strong excerpts to see what the activity genuinely needs. A working target is about 8-12 strong examples per Flight across several target types/topics before final UI design.</w:t>
      </w:r>
    </w:p>
    <w:p>
      <w:pPr>
        <w:pStyle w:val="Heading1"/>
        <w:keepNext/>
      </w:pPr>
      <w:r>
        <w:t>5. Practice Flight vs. passage reading demand</w:t>
      </w:r>
    </w:p>
    <w:p>
      <w:r>
        <w:t>This distinction is central and is already consistent with the current Curriculum Map. A morpheme has an introduction Flight; individual practice words have their own practice-word Flight; whole-text reading demand is another dimension.</w:t>
      </w:r>
    </w:p>
    <w:p>
      <w:pPr>
        <w:keepLines/>
        <w:spacing w:before="100" w:after="160"/>
        <w:ind w:left="173" w:right="173"/>
        <w:shd w:fill="F5F9FF"/>
        <w:pBdr>
          <w:left w:val="single" w:sz="18" w:space="8" w:color="2876BB"/>
        </w:pBdr>
      </w:pPr>
      <w:r>
        <w:rPr>
          <w:b/>
          <w:color w:val="17365F"/>
        </w:rPr>
        <w:t xml:space="preserve">Locked principle: </w:t>
      </w:r>
      <w:r>
        <w:t>Practice Flight = morphology instructional progression. Passage reading demand = separate text-complexity dimension.</w:t>
      </w:r>
    </w:p>
    <w:p>
      <w:pPr>
        <w:pStyle w:val="ListBullet"/>
      </w:pPr>
      <w:r>
        <w:t>Do not call a passage “Flight B text” merely because it contains a Flight B target.</w:t>
      </w:r>
    </w:p>
    <w:p>
      <w:pPr>
        <w:pStyle w:val="ListBullet"/>
      </w:pPr>
      <w:r>
        <w:t>Do not assign a morpheme to a different Flight because the source page is labeled for older/younger students.</w:t>
      </w:r>
    </w:p>
    <w:p>
      <w:pPr>
        <w:pStyle w:val="ListBullet"/>
      </w:pPr>
      <w:r>
        <w:t>Do not use the grade tag of an entire NASA/NOAA/NPS page as the excerpt level. Review the exact excerpt.</w:t>
      </w:r>
    </w:p>
    <w:p>
      <w:pPr>
        <w:pStyle w:val="ListBullet"/>
      </w:pPr>
      <w:r>
        <w:t>A known morpheme can recur in later, denser text. Example: struct may be introduced in Flight B and later appear in a demanding Flight C application passage.</w:t>
      </w:r>
    </w:p>
    <w:p>
      <w:pPr>
        <w:pStyle w:val="ListBullet"/>
      </w:pPr>
      <w:r>
        <w:t>A source tagged Grades 6-8 can sometimes support a Flight B morphology target if the adapted excerpt is accessible and the morphology role is appropriate.</w:t>
      </w:r>
    </w:p>
    <w:p>
      <w:pPr>
        <w:pStyle w:val="Heading2"/>
        <w:keepNext/>
      </w:pPr>
      <w:r>
        <w:t>Current Scope &amp; Sequence logic to preserve</w:t>
      </w:r>
    </w:p>
    <w:p>
      <w:r>
        <w:t>The Curriculum Map explicitly states that learning is cumulative and that previously introduced word parts continue in later, more complex words. Flight labels are general instructional guidance, not fixed student placement or whole-word reading levels.</w:t>
      </w:r>
    </w:p>
    <w:p>
      <w:pPr>
        <w:pStyle w:val="Heading3"/>
        <w:keepNext/>
      </w:pPr>
      <w:r>
        <w:t>Flight A · Foundations (typically Grades 2-3)</w:t>
      </w:r>
    </w:p>
    <w:p>
      <w:pPr>
        <w:spacing w:after="60"/>
      </w:pPr>
      <w:r>
        <w:rPr>
          <w:b/>
          <w:color w:val="17365F"/>
        </w:rPr>
        <w:t xml:space="preserve">Prefixes: </w:t>
      </w:r>
      <w:r>
        <w:t>un-, re-, dis-, en-/em-, non-, over-, mis-, sub-, pre-, fore-, mid-, under-</w:t>
      </w:r>
    </w:p>
    <w:p>
      <w:pPr>
        <w:spacing w:after="60"/>
      </w:pPr>
      <w:r>
        <w:rPr>
          <w:b/>
          <w:color w:val="17365F"/>
        </w:rPr>
        <w:t xml:space="preserve">Suffixes: </w:t>
      </w:r>
      <w:r>
        <w:t>-ness, -able/-ible, -ed, -er/-or (person/thing), -er (more), -est, -ful, -ing, -ion/-tion/-sion, -less, -ly, -ment, -s/-es</w:t>
      </w:r>
    </w:p>
    <w:p>
      <w:pPr>
        <w:spacing w:after="60"/>
      </w:pPr>
      <w:r>
        <w:rPr>
          <w:b/>
          <w:color w:val="17365F"/>
        </w:rPr>
        <w:t xml:space="preserve">Note: </w:t>
      </w:r>
      <w:r>
        <w:t>No roots/Greek combining forms are introduced as the defining Flight A target set; Flight A work uses familiar bases plus high-frequency affixes.</w:t>
      </w:r>
    </w:p>
    <w:p>
      <w:pPr>
        <w:pStyle w:val="Heading3"/>
        <w:keepNext/>
      </w:pPr>
      <w:r>
        <w:t>Flight B · Word Families (typically Grades 4-5)</w:t>
      </w:r>
    </w:p>
    <w:p>
      <w:pPr>
        <w:spacing w:after="60"/>
      </w:pPr>
      <w:r>
        <w:rPr>
          <w:b/>
          <w:color w:val="17365F"/>
        </w:rPr>
        <w:t xml:space="preserve">New prefixes: </w:t>
      </w:r>
      <w:r>
        <w:t>in-/im-/il-/ir- (not); in-/im- (in/into/inside); inter-, de-, trans-, super-, semi-, anti-, con-/com-, e-/ex-, pro-, circum-</w:t>
      </w:r>
    </w:p>
    <w:p>
      <w:pPr>
        <w:spacing w:after="60"/>
      </w:pPr>
      <w:r>
        <w:rPr>
          <w:b/>
          <w:color w:val="17365F"/>
        </w:rPr>
        <w:t xml:space="preserve">New roots / combining forms: </w:t>
      </w:r>
      <w:r>
        <w:t>bio, port, rupt, scrib/script, spect, struct, act, dict, form, graph, mot/mov, vis/vid, micro, tele, auto, phon/phone, scop/scope, metr/meter, therm, geo</w:t>
      </w:r>
    </w:p>
    <w:p>
      <w:pPr>
        <w:spacing w:after="60"/>
      </w:pPr>
      <w:r>
        <w:rPr>
          <w:b/>
          <w:color w:val="17365F"/>
        </w:rPr>
        <w:t xml:space="preserve">New suffixes: </w:t>
      </w:r>
      <w:r>
        <w:t>-al, -ic, -ity, -ive, -ist, -ize, -ify, -ology, -ous</w:t>
      </w:r>
    </w:p>
    <w:p>
      <w:pPr>
        <w:spacing w:after="60"/>
      </w:pPr>
      <w:r>
        <w:rPr>
          <w:b/>
          <w:color w:val="17365F"/>
        </w:rPr>
        <w:t xml:space="preserve">Note: </w:t>
      </w:r>
      <w:r>
        <w:t>Flight A word parts remain available. Greek combining forms may appear and teacher-facing terminology should be item-specific.</w:t>
      </w:r>
    </w:p>
    <w:p>
      <w:pPr>
        <w:pStyle w:val="Heading3"/>
        <w:keepNext/>
      </w:pPr>
      <w:r>
        <w:t>Flight C · Complex/Advanced Morphology (typically Grades 6-8)</w:t>
      </w:r>
    </w:p>
    <w:p>
      <w:pPr>
        <w:spacing w:after="60"/>
      </w:pPr>
      <w:r>
        <w:rPr>
          <w:b/>
          <w:color w:val="17365F"/>
        </w:rPr>
        <w:t xml:space="preserve">New prefixes: </w:t>
      </w:r>
      <w:r>
        <w:t>ab-, a-/ad-, retro-</w:t>
      </w:r>
    </w:p>
    <w:p>
      <w:pPr>
        <w:spacing w:after="60"/>
      </w:pPr>
      <w:r>
        <w:rPr>
          <w:b/>
          <w:color w:val="17365F"/>
        </w:rPr>
        <w:t xml:space="preserve">New roots: </w:t>
      </w:r>
      <w:r>
        <w:t>chron, duct/duce, fer, ject, mit, pel, pend/pens, pos, put, sequ, ten, tract, val, ven/vent, vert, voc, aud, cred, biblio, derma, terr</w:t>
      </w:r>
    </w:p>
    <w:p>
      <w:pPr>
        <w:spacing w:after="60"/>
      </w:pPr>
      <w:r>
        <w:rPr>
          <w:b/>
          <w:color w:val="17365F"/>
        </w:rPr>
        <w:t xml:space="preserve">New suffixes: </w:t>
      </w:r>
      <w:r>
        <w:t>-ance, -ence, -ant/-ent</w:t>
      </w:r>
    </w:p>
    <w:p>
      <w:pPr>
        <w:spacing w:after="60"/>
      </w:pPr>
      <w:r>
        <w:rPr>
          <w:b/>
          <w:color w:val="17365F"/>
        </w:rPr>
        <w:t xml:space="preserve">Note: </w:t>
      </w:r>
      <w:r>
        <w:t>Earlier word parts continue to appear in structurally more complex vocabulary. Greek combining forms from earlier Flights can recur.</w:t>
      </w:r>
    </w:p>
    <w:p>
      <w:pPr>
        <w:pStyle w:val="Heading1"/>
        <w:keepNext/>
      </w:pPr>
      <w:r>
        <w:t>6. Terminology rules</w:t>
      </w:r>
    </w:p>
    <w:p>
      <w:r>
        <w:t>Terminology must be determined by the specific word/family, not by Flight alone. The project already uses simplified student-facing categories (for example Roots) while teacher-facing guidance can be more linguistically specific.</w:t>
      </w:r>
    </w:p>
    <w:p>
      <w:pPr>
        <w:pStyle w:val="ListBullet"/>
      </w:pPr>
      <w:r>
        <w:t>Flight A may explicitly use “base word” when that is the correct analysis (for example cook in the COOK printable family).</w:t>
      </w:r>
    </w:p>
    <w:p>
      <w:pPr>
        <w:pStyle w:val="ListBullet"/>
      </w:pPr>
      <w:r>
        <w:t>A Latin bound form such as struct in construct is a root.</w:t>
      </w:r>
    </w:p>
    <w:p>
      <w:pPr>
        <w:pStyle w:val="ListBullet"/>
      </w:pPr>
      <w:r>
        <w:t>A Greek element such as bio in biology or tele in telescope may be a Greek combining form.</w:t>
      </w:r>
    </w:p>
    <w:p>
      <w:pPr>
        <w:pStyle w:val="ListBullet"/>
      </w:pPr>
      <w:r>
        <w:t>re- is a prefix; -ful is a suffix.</w:t>
      </w:r>
    </w:p>
    <w:p>
      <w:pPr>
        <w:pStyle w:val="ListBullet"/>
      </w:pPr>
      <w:r>
        <w:t>When exact terminology is unavailable, use the neutral term “word part” rather than guessing.</w:t>
      </w:r>
    </w:p>
    <w:p>
      <w:pPr>
        <w:pStyle w:val="ListBullet"/>
      </w:pPr>
      <w:r>
        <w:t>Do not create a global rule such as “Flight B = roots” or “Flight C = roots.” B/C may contain Latin roots and Greek combining forms; the label depends on the item.</w:t>
      </w:r>
    </w:p>
    <w:p>
      <w:pPr>
        <w:keepLines/>
        <w:spacing w:before="100" w:after="160"/>
        <w:ind w:left="173" w:right="173"/>
        <w:shd w:fill="F5F9FF"/>
        <w:pBdr>
          <w:left w:val="single" w:sz="18" w:space="8" w:color="2876BB"/>
        </w:pBdr>
      </w:pPr>
      <w:r>
        <w:rPr>
          <w:b/>
          <w:color w:val="17365F"/>
        </w:rPr>
        <w:t xml:space="preserve">Student-facing simplification: </w:t>
      </w:r>
      <w:r>
        <w:t>First Volo may continue grouping Greek combining forms with the blue Roots category for student simplicity, while metadata/teacher guidance preserves the exact role.</w:t>
      </w:r>
    </w:p>
    <w:p>
      <w:pPr>
        <w:pStyle w:val="Heading1"/>
        <w:keepNext/>
      </w:pPr>
      <w:r>
        <w:t>7. Passage purposes and surface eligibility</w:t>
      </w:r>
    </w:p>
    <w:p>
      <w:r>
        <w:t>The bank should distinguish instructional purpose from the UI surface where the passage is displayed. “Extension” is better represented as a surface/eligibility flag than as a completely separate duplicate bank.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F"/>
          </w:tcPr>
          <w:p>
            <w:pPr>
              <w:spacing w:after="40"/>
            </w:pPr>
            <w:r>
              <w:rPr>
                <w:b/>
                <w:color w:val="FFFFFF"/>
                <w:sz w:val="18"/>
              </w:rPr>
              <w:t>Purpose</w:t>
            </w:r>
          </w:p>
        </w:tc>
        <w:tc>
          <w:tcPr>
            <w:tcW w:type="dxa" w:w="3389"/>
            <w:shd w:fill="17365F"/>
          </w:tcPr>
          <w:p>
            <w:pPr>
              <w:spacing w:after="40"/>
            </w:pPr>
            <w:r>
              <w:rPr>
                <w:b/>
                <w:color w:val="FFFFFF"/>
                <w:sz w:val="18"/>
              </w:rPr>
              <w:t>Rules</w:t>
            </w:r>
          </w:p>
        </w:tc>
        <w:tc>
          <w:tcPr>
            <w:tcW w:type="dxa" w:w="3389"/>
            <w:shd w:fill="17365F"/>
          </w:tcPr>
          <w:p>
            <w:pPr>
              <w:spacing w:after="40"/>
            </w:pPr>
            <w:r>
              <w:rPr>
                <w:b/>
                <w:color w:val="FFFFFF"/>
                <w:sz w:val="18"/>
              </w:rPr>
              <w:t>Likely surfaces</w:t>
            </w:r>
          </w:p>
        </w:tc>
      </w:tr>
      <w:tr>
        <w:trPr/>
        <w:tc>
          <w:tcPr>
            <w:tcW w:type="dxa" w:w="3389"/>
            <w:tcMar>
              <w:top w:w="90" w:type="dxa"/>
              <w:start w:w="90" w:type="dxa"/>
              <w:bottom w:w="90" w:type="dxa"/>
              <w:end w:w="90" w:type="dxa"/>
            </w:tcMar>
          </w:tcPr>
          <w:p>
            <w:pPr>
              <w:spacing w:after="40"/>
            </w:pPr>
            <w:r>
              <w:rPr>
                <w:sz w:val="18"/>
              </w:rPr>
              <w:t>instructional</w:t>
            </w:r>
          </w:p>
        </w:tc>
        <w:tc>
          <w:tcPr>
            <w:tcW w:type="dxa" w:w="3389"/>
            <w:tcMar>
              <w:top w:w="90" w:type="dxa"/>
              <w:start w:w="90" w:type="dxa"/>
              <w:bottom w:w="90" w:type="dxa"/>
              <w:end w:w="90" w:type="dxa"/>
            </w:tcMar>
          </w:tcPr>
          <w:p>
            <w:pPr>
              <w:spacing w:after="40"/>
            </w:pPr>
            <w:r>
              <w:rPr>
                <w:sz w:val="18"/>
              </w:rPr>
              <w:t>Target may repeat; highlighting/analysis/modeling are allowed.</w:t>
            </w:r>
          </w:p>
        </w:tc>
        <w:tc>
          <w:tcPr>
            <w:tcW w:type="dxa" w:w="3389"/>
            <w:tcMar>
              <w:top w:w="90" w:type="dxa"/>
              <w:start w:w="90" w:type="dxa"/>
              <w:bottom w:w="90" w:type="dxa"/>
              <w:end w:w="90" w:type="dxa"/>
            </w:tcMar>
          </w:tcPr>
          <w:p>
            <w:pPr>
              <w:spacing w:after="40"/>
            </w:pPr>
            <w:r>
              <w:rPr>
                <w:sz w:val="18"/>
              </w:rPr>
              <w:t>Teacher Teach/Practice; sometimes main activity if support is explicit.</w:t>
            </w:r>
          </w:p>
        </w:tc>
      </w:tr>
      <w:tr>
        <w:trPr/>
        <w:tc>
          <w:tcPr>
            <w:tcW w:type="dxa" w:w="3389"/>
            <w:tcMar>
              <w:top w:w="90" w:type="dxa"/>
              <w:start w:w="90" w:type="dxa"/>
              <w:bottom w:w="90" w:type="dxa"/>
              <w:end w:w="90" w:type="dxa"/>
            </w:tcMar>
          </w:tcPr>
          <w:p>
            <w:pPr>
              <w:spacing w:after="40"/>
            </w:pPr>
            <w:r>
              <w:rPr>
                <w:sz w:val="18"/>
              </w:rPr>
              <w:t>application</w:t>
            </w:r>
          </w:p>
        </w:tc>
        <w:tc>
          <w:tcPr>
            <w:tcW w:type="dxa" w:w="3389"/>
            <w:tcMar>
              <w:top w:w="90" w:type="dxa"/>
              <w:start w:w="90" w:type="dxa"/>
              <w:bottom w:w="90" w:type="dxa"/>
              <w:end w:w="90" w:type="dxa"/>
            </w:tcMar>
          </w:tcPr>
          <w:p>
            <w:pPr>
              <w:spacing w:after="40"/>
            </w:pPr>
            <w:r>
              <w:rPr>
                <w:sz w:val="18"/>
              </w:rPr>
              <w:t>Known morphology appears in connected text; student applies morphology + context with less support.</w:t>
            </w:r>
          </w:p>
        </w:tc>
        <w:tc>
          <w:tcPr>
            <w:tcW w:type="dxa" w:w="3389"/>
            <w:tcMar>
              <w:top w:w="90" w:type="dxa"/>
              <w:start w:w="90" w:type="dxa"/>
              <w:bottom w:w="90" w:type="dxa"/>
              <w:end w:w="90" w:type="dxa"/>
            </w:tcMar>
          </w:tcPr>
          <w:p>
            <w:pPr>
              <w:spacing w:after="40"/>
            </w:pPr>
            <w:r>
              <w:rPr>
                <w:sz w:val="18"/>
              </w:rPr>
              <w:t>Teacher Apply; future main connected-text activity; optionally Extension.</w:t>
            </w:r>
          </w:p>
        </w:tc>
      </w:tr>
      <w:tr>
        <w:trPr/>
        <w:tc>
          <w:tcPr>
            <w:tcW w:type="dxa" w:w="3389"/>
            <w:tcMar>
              <w:top w:w="90" w:type="dxa"/>
              <w:start w:w="90" w:type="dxa"/>
              <w:bottom w:w="90" w:type="dxa"/>
              <w:end w:w="90" w:type="dxa"/>
            </w:tcMar>
          </w:tcPr>
          <w:p>
            <w:pPr>
              <w:spacing w:after="40"/>
            </w:pPr>
            <w:r>
              <w:rPr>
                <w:sz w:val="18"/>
              </w:rPr>
              <w:t>protected_transfer</w:t>
            </w:r>
          </w:p>
        </w:tc>
        <w:tc>
          <w:tcPr>
            <w:tcW w:type="dxa" w:w="3389"/>
            <w:tcMar>
              <w:top w:w="90" w:type="dxa"/>
              <w:start w:w="90" w:type="dxa"/>
              <w:bottom w:w="90" w:type="dxa"/>
              <w:end w:w="90" w:type="dxa"/>
            </w:tcMar>
          </w:tcPr>
          <w:p>
            <w:pPr>
              <w:spacing w:after="40"/>
            </w:pPr>
            <w:r>
              <w:rPr>
                <w:sz w:val="18"/>
              </w:rPr>
              <w:t>Known morpheme appears in a never-before-taught whole word. No preteaching of the transfer word.</w:t>
            </w:r>
          </w:p>
        </w:tc>
        <w:tc>
          <w:tcPr>
            <w:tcW w:type="dxa" w:w="3389"/>
            <w:tcMar>
              <w:top w:w="90" w:type="dxa"/>
              <w:start w:w="90" w:type="dxa"/>
              <w:bottom w:w="90" w:type="dxa"/>
              <w:end w:w="90" w:type="dxa"/>
            </w:tcMar>
          </w:tcPr>
          <w:p>
            <w:pPr>
              <w:spacing w:after="40"/>
            </w:pPr>
            <w:r>
              <w:rPr>
                <w:sz w:val="18"/>
              </w:rPr>
              <w:t>Check Transfer only.</w:t>
            </w:r>
          </w:p>
        </w:tc>
      </w:tr>
    </w:tbl>
    <w:p>
      <w:pPr>
        <w:pStyle w:val="Heading1"/>
        <w:keepNext/>
      </w:pPr>
      <w:r>
        <w:t>8. Assessment and transfer protection architecture</w:t>
      </w:r>
    </w:p>
    <w:p>
      <w:pPr>
        <w:keepLines/>
        <w:spacing w:before="100" w:after="160"/>
        <w:ind w:left="173" w:right="173"/>
        <w:shd w:fill="F5F9FF"/>
        <w:pBdr>
          <w:left w:val="single" w:sz="18" w:space="8" w:color="2876BB"/>
        </w:pBdr>
      </w:pPr>
      <w:r>
        <w:rPr>
          <w:b/>
          <w:color w:val="17365F"/>
        </w:rPr>
        <w:t xml:space="preserve">Non-negotiable: </w:t>
      </w:r>
      <w:r>
        <w:t>Pre/post and Migration Challenge content must remain clean and usable. Connected-text planning cannot casually reuse the target whole words, exact structured-response pairs, prompts, or distractor patterns used to obtain independent evidence.</w:t>
      </w:r>
    </w:p>
    <w:p>
      <w:r>
        <w:t>The current plan uses three independent protected pools:</w:t>
      </w:r>
    </w:p>
    <w:p>
      <w:pPr>
        <w:ind w:left="0" w:firstLine="0"/>
      </w:pPr>
      <w:r>
        <w:rPr>
          <w:b w:val="0"/>
        </w:rPr>
        <w:t xml:space="preserve">1.  </w:t>
      </w:r>
      <w:r>
        <w:t>Formal pre/post target words and assessed contrasts — baseline/outcome evidence.</w:t>
      </w:r>
    </w:p>
    <w:p>
      <w:pPr>
        <w:ind w:left="0" w:firstLine="0"/>
      </w:pPr>
      <w:r>
        <w:rPr>
          <w:b w:val="0"/>
        </w:rPr>
        <w:t xml:space="preserve">2.  </w:t>
      </w:r>
      <w:r>
        <w:t>Migration Challenge reserved words — independent end-of-Flight transfer on the map.</w:t>
      </w:r>
    </w:p>
    <w:p>
      <w:pPr>
        <w:ind w:left="0" w:firstLine="0"/>
      </w:pPr>
      <w:r>
        <w:rPr>
          <w:b w:val="0"/>
        </w:rPr>
        <w:t xml:space="preserve">3.  </w:t>
      </w:r>
      <w:r>
        <w:t>Future connected-text Check Transfer words — a separate third pool, not yet populated.</w:t>
      </w:r>
    </w:p>
    <w:p>
      <w:pPr>
        <w:keepLines/>
        <w:spacing w:before="100" w:after="160"/>
        <w:ind w:left="173" w:right="173"/>
        <w:shd w:fill="F5F9FF"/>
        <w:pBdr>
          <w:left w:val="single" w:sz="18" w:space="8" w:color="2876BB"/>
        </w:pBdr>
      </w:pPr>
      <w:r>
        <w:rPr>
          <w:b/>
          <w:color w:val="17365F"/>
        </w:rPr>
        <w:t xml:space="preserve">Important distinction: </w:t>
      </w:r>
      <w:r>
        <w:t>The taught morpheme itself is not protected. Students should learn the morpheme. Protection applies to the whole word used as independent evidence. Example: sequ can be taught and practiced while subsequent remains reserved.</w:t>
      </w:r>
    </w:p>
    <w:p>
      <w:pPr>
        <w:pStyle w:val="Heading1"/>
        <w:keepNext/>
      </w:pPr>
      <w:r>
        <w:t>9. Pre/post logic that must remain intact</w:t>
      </w:r>
    </w:p>
    <w:p>
      <w:r>
        <w:t>The pre/post assessments already encode a useful evidence model. Connected-text instruction should align with that logic, not redefine “transfer” in a parallel way.</w:t>
      </w:r>
    </w:p>
    <w:p>
      <w:pPr>
        <w:pStyle w:val="ListBullet"/>
      </w:pPr>
      <w:r>
        <w:t>Items distinguish knowledge, practiced analysis/inference, constructed reasoning, near-transfer, and transfer.</w:t>
      </w:r>
    </w:p>
    <w:p>
      <w:pPr>
        <w:pStyle w:val="ListBullet"/>
      </w:pPr>
      <w:r>
        <w:t>Formal assessment forms are parallel but not identical. The point is to compare the same underlying skills without simply repeating the same item.</w:t>
      </w:r>
    </w:p>
    <w:p>
      <w:pPr>
        <w:pStyle w:val="ListBullet"/>
      </w:pPr>
      <w:r>
        <w:t>Support conditions are explicit in item metadata (for example a field of four choices, a field of six word-part choices, or an independent structured fill-in response).</w:t>
      </w:r>
    </w:p>
    <w:p>
      <w:pPr>
        <w:pStyle w:val="ListBullet"/>
      </w:pPr>
      <w:r>
        <w:t>Constructed reasoning items can use a 0-2 rubric and assess explanation/comparison, not just multiple-choice accuracy.</w:t>
      </w:r>
    </w:p>
    <w:p>
      <w:pPr>
        <w:pStyle w:val="ListBullet"/>
      </w:pPr>
      <w:r>
        <w:t>Transfer items use a familiar morpheme in a new whole word. They should not become ordinary instructional examples before assessment.</w:t>
      </w:r>
    </w:p>
    <w:p>
      <w:pPr>
        <w:pStyle w:val="ListBullet"/>
      </w:pPr>
      <w:r>
        <w:t>Near-transfer examples may hold a base/root constant while changing a suffix or related form. Those exact contrasts should remain clean if they are part of the scored construct.</w:t>
      </w:r>
    </w:p>
    <w:p>
      <w:pPr>
        <w:pStyle w:val="ListBullet"/>
      </w:pPr>
      <w:r>
        <w:t>Do not copy assessment sentence frames, distractor sets, or prompt structures into connected-text practice so closely that the assessment becomes rehearsed.</w:t>
      </w:r>
    </w:p>
    <w:p>
      <w:pPr>
        <w:pStyle w:val="Heading2"/>
        <w:keepNext/>
      </w:pPr>
      <w:r>
        <w:t>Examples from the current assessment logic</w:t>
      </w:r>
    </w:p>
    <w:p>
      <w:pPr>
        <w:spacing w:after="60"/>
      </w:pPr>
      <w:r>
        <w:rPr>
          <w:b/>
          <w:color w:val="17365F"/>
        </w:rPr>
        <w:t xml:space="preserve">Flight A: </w:t>
      </w:r>
      <w:r>
        <w:t>Transfer examples include novel affixed whole words such as prewash / pretest and mislabel / miscount. Constructed reasoning compares related suffixes such as -ful vs. -less.</w:t>
      </w:r>
    </w:p>
    <w:p>
      <w:pPr>
        <w:spacing w:after="60"/>
      </w:pPr>
      <w:r>
        <w:rPr>
          <w:b/>
          <w:color w:val="17365F"/>
        </w:rPr>
        <w:t xml:space="preserve">Flight B: </w:t>
      </w:r>
      <w:r>
        <w:t>Transfer examples include transportable / exportable and multi-part transfer analysis such as interruption. Constructed reasoning includes flexible in-/im- meanings and suffix-family reasoning.</w:t>
      </w:r>
    </w:p>
    <w:p>
      <w:pPr>
        <w:spacing w:after="60"/>
      </w:pPr>
      <w:r>
        <w:rPr>
          <w:b/>
          <w:color w:val="17365F"/>
        </w:rPr>
        <w:t xml:space="preserve">Flight C: </w:t>
      </w:r>
      <w:r>
        <w:t>Transfer examples include reposition, retractable, ejectable, and inaudible. Constructed reasoning includes same-root/different-prefix comparisons and related suffix functions.</w:t>
      </w:r>
    </w:p>
    <w:p>
      <w:pPr>
        <w:keepLines/>
        <w:spacing w:before="100" w:after="160"/>
        <w:ind w:left="173" w:right="173"/>
        <w:shd w:fill="F5F9FF"/>
        <w:pBdr>
          <w:left w:val="single" w:sz="18" w:space="8" w:color="2876BB"/>
        </w:pBdr>
      </w:pPr>
      <w:r>
        <w:rPr>
          <w:b/>
          <w:color w:val="17365F"/>
        </w:rPr>
        <w:t xml:space="preserve">Caught in this thread: </w:t>
      </w:r>
      <w:r>
        <w:t>The original bat excerpt used audible, which is an exact Flight C pre-test target; the post uses inaudible. The excerpt was revised to use auditory/audio instead. This is the model for how conflicts should be handled: revise the instructional passage, not the assessment.</w:t>
      </w:r>
    </w:p>
    <w:p>
      <w:pPr>
        <w:pStyle w:val="Heading1"/>
        <w:keepNext/>
      </w:pPr>
      <w:r>
        <w:t>10. Migration Challenge logic that must remain intact</w:t>
      </w:r>
    </w:p>
    <w:p>
      <w:r>
        <w:t>The map/Transfer Challenge is a separate transfer system from the formal pre/post and must remain independent from ordinary excerpt practice.</w:t>
      </w:r>
    </w:p>
    <w:p>
      <w:pPr>
        <w:pStyle w:val="ListBullet"/>
      </w:pPr>
      <w:r>
        <w:t>5 items per attempt; 4 correct (80%) required to pass.</w:t>
      </w:r>
    </w:p>
    <w:p>
      <w:pPr>
        <w:pStyle w:val="ListBullet"/>
      </w:pPr>
      <w:r>
        <w:t>Untimed; no hints during the attempt.</w:t>
      </w:r>
    </w:p>
    <w:p>
      <w:pPr>
        <w:pStyle w:val="ListBullet"/>
      </w:pPr>
      <w:r>
        <w:t>Transfer scores do not affect Volo Tokens.</w:t>
      </w:r>
    </w:p>
    <w:p>
      <w:pPr>
        <w:pStyle w:val="ListBullet"/>
      </w:pPr>
      <w:r>
        <w:t>Transfer scores do not become ordinary practice accuracy.</w:t>
      </w:r>
    </w:p>
    <w:p>
      <w:pPr>
        <w:pStyle w:val="ListBullet"/>
      </w:pPr>
      <w:r>
        <w:t>Transfer scores do not affect the formal assessment score.</w:t>
      </w:r>
    </w:p>
    <w:p>
      <w:pPr>
        <w:pStyle w:val="ListBullet"/>
      </w:pPr>
      <w:r>
        <w:t>Use the alternate form after failure; do not give the same form twice in a row.</w:t>
      </w:r>
    </w:p>
    <w:p>
      <w:pPr>
        <w:pStyle w:val="ListBullet"/>
      </w:pPr>
      <w:r>
        <w:t>A passed status persists.</w:t>
      </w:r>
    </w:p>
    <w:p>
      <w:pPr>
        <w:pStyle w:val="ListBullet"/>
      </w:pPr>
      <w:r>
        <w:t>Flight A uses familiar vocabulary and high transparency.</w:t>
      </w:r>
    </w:p>
    <w:p>
      <w:pPr>
        <w:pStyle w:val="ListBullet"/>
      </w:pPr>
      <w:r>
        <w:t>Flight B allows familiar or academic vocabulary and high/medium transparency.</w:t>
      </w:r>
    </w:p>
    <w:p>
      <w:pPr>
        <w:pStyle w:val="ListBullet"/>
      </w:pPr>
      <w:r>
        <w:t>Flight C allows familiar or academic vocabulary, high/medium transparency, and greater morphological complexity.</w:t>
      </w:r>
    </w:p>
    <w:p>
      <w:pPr>
        <w:pStyle w:val="ListBullet"/>
      </w:pPr>
      <w:r>
        <w:t>The current challenge design excludes a-/ad- and put from Flight C transfer selection because of their limited-application/recognition-only profiles.</w:t>
      </w:r>
    </w:p>
    <w:p>
      <w:pPr>
        <w:pStyle w:val="Heading2"/>
        <w:keepNext/>
      </w:pPr>
      <w:r>
        <w:t>Reserved Migration Challenge words</w:t>
      </w:r>
    </w:p>
    <w:p>
      <w:pPr>
        <w:spacing w:after="60"/>
      </w:pPr>
      <w:r>
        <w:rPr>
          <w:b/>
          <w:color w:val="17365F"/>
        </w:rPr>
        <w:t xml:space="preserve">Flight A: </w:t>
      </w:r>
      <w:r>
        <w:t>pregame · misplace · fearless · rebuild · readable · overcook · kindness · midpoint · unfair · speechless</w:t>
      </w:r>
    </w:p>
    <w:p>
      <w:pPr>
        <w:spacing w:after="60"/>
      </w:pPr>
      <w:r>
        <w:rPr>
          <w:b/>
          <w:color w:val="17365F"/>
        </w:rPr>
        <w:t xml:space="preserve">Flight B: </w:t>
      </w:r>
      <w:r>
        <w:t>export · biology · classify · semicircle · portable · manuscript · modernize · visible · thermometer · poetic</w:t>
      </w:r>
    </w:p>
    <w:p>
      <w:pPr>
        <w:spacing w:after="60"/>
      </w:pPr>
      <w:r>
        <w:rPr>
          <w:b/>
          <w:color w:val="17365F"/>
        </w:rPr>
        <w:t xml:space="preserve">Flight C: </w:t>
      </w:r>
      <w:r>
        <w:t>credible · detract · subsequent · acceptance · abnormal · evaluate · intervene · projection · dependent · retroactive</w:t>
      </w:r>
    </w:p>
    <w:p>
      <w:pPr>
        <w:pStyle w:val="Heading1"/>
        <w:keepNext/>
      </w:pPr>
      <w:r>
        <w:t>11. Connected-text transfer: future third protected pool</w:t>
      </w:r>
    </w:p>
    <w:p>
      <w:r>
        <w:t>If the Teacher Guidance flow includes a Check Transfer step using connected text, those items should come from a third protected bank rather than from ordinary application passages.</w:t>
      </w:r>
    </w:p>
    <w:p>
      <w:pPr>
        <w:pStyle w:val="ListBullet"/>
      </w:pPr>
      <w:r>
        <w:t>Use 1-2 protected connected-text transfer items when the guidance logic calls for Check Transfer.</w:t>
      </w:r>
    </w:p>
    <w:p>
      <w:pPr>
        <w:pStyle w:val="ListBullet"/>
      </w:pPr>
      <w:r>
        <w:t>Do not preteach the transfer whole word.</w:t>
      </w:r>
    </w:p>
    <w:p>
      <w:pPr>
        <w:pStyle w:val="ListBullet"/>
      </w:pPr>
      <w:r>
        <w:t>Begin with minimal support. If the student has no entry point, first ask what word part they recognize.</w:t>
      </w:r>
    </w:p>
    <w:p>
      <w:pPr>
        <w:pStyle w:val="ListBullet"/>
      </w:pPr>
      <w:r>
        <w:t>If structure is overlooked, highlight/separate the relevant part.</w:t>
      </w:r>
    </w:p>
    <w:p>
      <w:pPr>
        <w:pStyle w:val="ListBullet"/>
      </w:pPr>
      <w:r>
        <w:t>If the target is recognized but the whole word is not inferred, provide another meaningful part or context, then plausible meaning choices if needed.</w:t>
      </w:r>
    </w:p>
    <w:p>
      <w:pPr>
        <w:pStyle w:val="ListBullet"/>
      </w:pPr>
      <w:r>
        <w:t>If modeling becomes necessary, immediately move to a different transfer item; do not treat the modeled item as independent transfer evidence.</w:t>
      </w:r>
    </w:p>
    <w:p>
      <w:pPr>
        <w:pStyle w:val="ListBullet"/>
      </w:pPr>
      <w:r>
        <w:t>Connected-text transfer reserved words must overlap neither formal pre/post targets nor Migration Challenge words.</w:t>
      </w:r>
    </w:p>
    <w:p>
      <w:pPr>
        <w:pStyle w:val="ListBullet"/>
      </w:pPr>
      <w:r>
        <w:t>Once a whole word is reserved for connected-text transfer, ordinary practice, extension, and teacher examples must filter it out.</w:t>
      </w:r>
    </w:p>
    <w:p>
      <w:pPr>
        <w:pStyle w:val="Heading1"/>
        <w:keepNext/>
      </w:pPr>
      <w:r>
        <w:t>12. Science-of-reading-safe use of context</w:t>
      </w:r>
    </w:p>
    <w:p>
      <w:pPr>
        <w:keepLines/>
        <w:spacing w:before="100" w:after="160"/>
        <w:ind w:left="173" w:right="173"/>
        <w:shd w:fill="F5F9FF"/>
        <w:pBdr>
          <w:left w:val="single" w:sz="18" w:space="8" w:color="2876BB"/>
        </w:pBdr>
      </w:pPr>
      <w:r>
        <w:rPr>
          <w:b/>
          <w:color w:val="17365F"/>
        </w:rPr>
        <w:t xml:space="preserve">Core rule: </w:t>
      </w:r>
      <w:r>
        <w:t>Context supports semantics after word recognition; it is not a strategy for guessing the identity of an unknown written word.</w:t>
      </w:r>
    </w:p>
    <w:p>
      <w:pPr>
        <w:pStyle w:val="ListBullet"/>
      </w:pPr>
      <w:r>
        <w:t>The passage can help the student confirm or refine the meaning of a morphologically complex word.</w:t>
      </w:r>
    </w:p>
    <w:p>
      <w:pPr>
        <w:pStyle w:val="ListBullet"/>
      </w:pPr>
      <w:r>
        <w:t>Pictures, topic, or sentence context should not be used to bypass decoding of the target word.</w:t>
      </w:r>
    </w:p>
    <w:p>
      <w:pPr>
        <w:pStyle w:val="ListBullet"/>
      </w:pPr>
      <w:r>
        <w:t>If a nonessential word blocks access during online/teacher-guided work, an educator may provide that word without solving the morphology task.</w:t>
      </w:r>
    </w:p>
    <w:p>
      <w:pPr>
        <w:pStyle w:val="ListBullet"/>
      </w:pPr>
      <w:r>
        <w:t>The desired reasoning sequence is: recognize/read the word -&gt; notice known morphology -&gt; form a meaning hypothesis -&gt; use context to confirm/revise.</w:t>
      </w:r>
    </w:p>
    <w:p>
      <w:pPr>
        <w:pStyle w:val="ListBullet"/>
      </w:pPr>
      <w:r>
        <w:t>Public-domain historical texts can be used as text sources, but their original pedagogy is not adopted as First Volo methodology.</w:t>
      </w:r>
    </w:p>
    <w:p>
      <w:pPr>
        <w:pStyle w:val="Heading1"/>
        <w:keepNext/>
      </w:pPr>
      <w:r>
        <w:t>13. Source strategy and interestingness requirements</w:t>
      </w:r>
    </w:p>
    <w:p>
      <w:pPr>
        <w:keepLines/>
        <w:spacing w:before="100" w:after="160"/>
        <w:ind w:left="173" w:right="173"/>
        <w:shd w:fill="F5F9FF"/>
        <w:pBdr>
          <w:left w:val="single" w:sz="18" w:space="8" w:color="2876BB"/>
        </w:pBdr>
      </w:pPr>
      <w:r>
        <w:rPr>
          <w:b/>
          <w:color w:val="17365F"/>
        </w:rPr>
        <w:t xml:space="preserve">Hard curation requirement: </w:t>
      </w:r>
      <w:r>
        <w:t>Reject morphologically perfect but boring passages. A passage must be genuinely interesting, readable enough for its purpose, and morphologically useful.</w:t>
      </w:r>
    </w:p>
    <w:p>
      <w:r>
        <w:t>Preferred nonfiction backbone: current U.S. federal science/nature text, especially NASA, NOAA Ocean Exploration, NPS, and USGS. Preferred narrative supplement: carefully selected U.S. public-domain literature (myth, adventure, fantasy, animal stories, etc.).</w:t>
      </w:r>
    </w:p>
    <w:p>
      <w:pPr>
        <w:pStyle w:val="ListBullet"/>
      </w:pPr>
      <w:r>
        <w:t>Strong hooks/topics: volcanoes, deep-sea animals, octopus/bioluminescence, animal adaptations, disasters, shipwrecks, myths, hidden tunnels, strange inventions, space, unusual scientific discoveries, bizarre historical events.</w:t>
      </w:r>
    </w:p>
    <w:p>
      <w:pPr>
        <w:pStyle w:val="ListBullet"/>
      </w:pPr>
      <w:r>
        <w:t>Use current federal science for factual science content instead of old public-domain science books when accuracy may have changed.</w:t>
      </w:r>
    </w:p>
    <w:p>
      <w:pPr>
        <w:pStyle w:val="ListBullet"/>
      </w:pPr>
      <w:r>
        <w:t>Public-domain literature can supply narrative structure and engagement where current federal text is primarily informational.</w:t>
      </w:r>
    </w:p>
    <w:p>
      <w:pPr>
        <w:pStyle w:val="ListBullet"/>
      </w:pPr>
      <w:r>
        <w:t>Do not select passages only because they contain the target morpheme. Topic and prose quality matter.</w:t>
      </w:r>
    </w:p>
    <w:p>
      <w:pPr>
        <w:pStyle w:val="ListBullet"/>
      </w:pPr>
      <w:r>
        <w:t>Do not start with a source and try to force it into a Flight. Start with the First Volo target/inventory, then search for a strong passage that naturally supports it.</w:t>
      </w:r>
    </w:p>
    <w:p>
      <w:pPr>
        <w:pStyle w:val="Heading2"/>
        <w:keepNext/>
      </w:pPr>
      <w:r>
        <w:t>McGuffey decision</w:t>
      </w:r>
    </w:p>
    <w:p>
      <w:r>
        <w:t>McGuffey Readers were researched and dropped from the First Volo shortlist. They are not simply “anti-science-of-reading,” but they are historical/eclectic instructional materials and are not a good modern pedagogy source. Public-domain works can still be used as text sources; First Volo should not inherit their instructional method.</w:t>
      </w:r>
    </w:p>
    <w:p>
      <w:pPr>
        <w:pStyle w:val="Heading1"/>
        <w:keepNext/>
      </w:pPr>
      <w:r>
        <w:t>14. Rights and attribution rules</w:t>
      </w:r>
    </w:p>
    <w:p>
      <w:r>
        <w:t>Do not assume that every item on a .gov page is automatically reusable. Federal-authored material is often public domain, but partner content, photographs, graphics, trademarks, and credited third-party material may have separate rights.</w:t>
      </w:r>
    </w:p>
    <w:p>
      <w:pPr>
        <w:spacing w:after="60"/>
      </w:pPr>
      <w:r>
        <w:rPr>
          <w:b/>
          <w:color w:val="17365F"/>
        </w:rPr>
        <w:t xml:space="preserve">NASA: </w:t>
      </w:r>
      <w:r>
        <w:t>NASA content is generally not subject to U.S. copyright and educational/informational reuse is generally allowed. Check third-party credits and avoid implied endorsement.</w:t>
      </w:r>
    </w:p>
    <w:p>
      <w:pPr>
        <w:spacing w:after="60"/>
      </w:pPr>
      <w:r>
        <w:rPr>
          <w:b/>
          <w:color w:val="17365F"/>
        </w:rPr>
        <w:t xml:space="preserve">NOAA Ocean Exploration: </w:t>
      </w:r>
      <w:r>
        <w:t>Site information is generally public domain unless otherwise noted. Credit the contributing author/affiliation or NOAA Ocean Exploration and check partner/embedded materials.</w:t>
      </w:r>
    </w:p>
    <w:p>
      <w:pPr>
        <w:spacing w:after="60"/>
      </w:pPr>
      <w:r>
        <w:rPr>
          <w:b/>
          <w:color w:val="17365F"/>
        </w:rPr>
        <w:t xml:space="preserve">USGS: </w:t>
      </w:r>
      <w:r>
        <w:t>USGS-authored information is U.S. public domain. Check separately credited images/graphics and third-party material.</w:t>
      </w:r>
    </w:p>
    <w:p>
      <w:pPr>
        <w:spacing w:after="60"/>
      </w:pPr>
      <w:r>
        <w:rPr>
          <w:b/>
          <w:color w:val="17365F"/>
        </w:rPr>
        <w:t xml:space="preserve">National Park Service: </w:t>
      </w:r>
      <w:r>
        <w:t>Material created by NPS employees in official duties is generally public domain. Third-party content may be copyrighted; NPS marks/logos are protected.</w:t>
      </w:r>
    </w:p>
    <w:p>
      <w:pPr>
        <w:spacing w:after="60"/>
      </w:pPr>
      <w:r>
        <w:rPr>
          <w:b/>
          <w:color w:val="17365F"/>
        </w:rPr>
        <w:t xml:space="preserve">Project Gutenberg / public-domain literature: </w:t>
      </w:r>
      <w:r>
        <w:t>Use U.S. public-domain editions. Later translations, editions, introductions, illustrations, or annotations can carry separate rights.</w:t>
      </w:r>
    </w:p>
    <w:p>
      <w:pPr>
        <w:pStyle w:val="Heading2"/>
        <w:keepNext/>
      </w:pPr>
      <w:r>
        <w:t>Recommended rights record per excerpt</w:t>
      </w:r>
    </w:p>
    <w:p>
      <w:pPr>
        <w:pStyle w:val="CodeBlock"/>
      </w:pPr>
      <w:r>
        <w:t>sourceAgency: NOAA Ocean Exploration</w:t>
        <w:br/>
        <w:t>sourcePage: [exact URL]</w:t>
        <w:br/>
        <w:t>authorCredit: NOAA Ocean Exploration / named contributor</w:t>
        <w:br/>
        <w:t>governmentAuthored: true</w:t>
        <w:br/>
        <w:t>thirdPartyContentUsed: false</w:t>
        <w:br/>
        <w:t>reuseStatus: U.S. public domain</w:t>
        <w:br/>
        <w:t>adaptedByFirstVolo: true</w:t>
        <w:br/>
        <w:t>rightsCheckedDate: 2026-08-20</w:t>
      </w:r>
    </w:p>
    <w:p>
      <w:pPr>
        <w:pStyle w:val="Heading2"/>
        <w:keepNext/>
      </w:pPr>
      <w:r>
        <w:t>Attribution principle</w:t>
      </w:r>
    </w:p>
    <w:p>
      <w:r>
        <w:t>First Volo can claim copyright in its own selection, adaptation/original wording, instructional prompts, questions, morphology highlighting, guidance, layout, and design. It should not claim copyright over original U.S. Government text.</w:t>
      </w:r>
    </w:p>
    <w:p>
      <w:pPr>
        <w:keepLines/>
        <w:spacing w:before="100" w:after="160"/>
        <w:ind w:left="173" w:right="173"/>
        <w:shd w:fill="FFF8E8"/>
        <w:pBdr>
          <w:left w:val="single" w:sz="18" w:space="8" w:color="C99B2E"/>
        </w:pBdr>
      </w:pPr>
      <w:r>
        <w:rPr>
          <w:b/>
          <w:color w:val="17365F"/>
        </w:rPr>
        <w:t xml:space="preserve">Possible adapted-source footer (to re-verify per agency before standardizing): </w:t>
      </w:r>
      <w:r>
        <w:t>Adapted from NOAA Ocean Exploration. U.S. Government source material; no claim to original U.S. Government text.</w:t>
      </w:r>
    </w:p>
    <w:p>
      <w:pPr>
        <w:pStyle w:val="Heading1"/>
        <w:keepNext/>
      </w:pPr>
      <w:r>
        <w:t>15. Lexile/readability policy</w:t>
      </w:r>
    </w:p>
    <w:p>
      <w:r>
        <w:t>Lexile was added as a screening dimension, not as the organizing principle. Exact final excerpts should be reviewed, because small edits can change text complexity.</w:t>
      </w:r>
    </w:p>
    <w:p>
      <w:pPr>
        <w:pStyle w:val="ListBullet"/>
      </w:pPr>
      <w:r>
        <w:t>The educator Lexile Text Analyzer evaluates conventionally punctuated prose and returns an estimated 200L range rather than a certified exact measure.</w:t>
      </w:r>
    </w:p>
    <w:p>
      <w:pPr>
        <w:pStyle w:val="ListBullet"/>
      </w:pPr>
      <w:r>
        <w:t>It can be used on passages/web-article text after removing navigation, captions, menus, and other non-prose material.</w:t>
      </w:r>
    </w:p>
    <w:p>
      <w:pPr>
        <w:pStyle w:val="ListBullet"/>
      </w:pPr>
      <w:r>
        <w:t>Sentence length and word frequency are among the characteristics that affect the measure.</w:t>
      </w:r>
    </w:p>
    <w:p>
      <w:pPr>
        <w:pStyle w:val="ListBullet"/>
      </w:pPr>
      <w:r>
        <w:t>The exact finalized excerpt should be measured, not the whole source page.</w:t>
      </w:r>
    </w:p>
    <w:p>
      <w:pPr>
        <w:pStyle w:val="ListBullet"/>
      </w:pPr>
      <w:r>
        <w:t>Educator-generated ranges are not certified and, per the guidance researched in this thread, should not be publicly shared or used as commercial/certified Lexile labels.</w:t>
      </w:r>
    </w:p>
    <w:p>
      <w:pPr>
        <w:pStyle w:val="ListBullet"/>
      </w:pPr>
      <w:r>
        <w:t>For public/commercial certified measures, use the appropriate MetaMetrics Content Creator/professional route and re-verify the current licensing terms before publication.</w:t>
      </w:r>
    </w:p>
    <w:p>
      <w:pPr>
        <w:pStyle w:val="ListBullet"/>
      </w:pPr>
      <w:r>
        <w:t>As researched in this thread, access/availability changed in 2026; therefore any commercial Lexile plan should be re-checked immediately before implementation.</w:t>
      </w:r>
    </w:p>
    <w:p>
      <w:pPr>
        <w:pStyle w:val="ListBullet"/>
      </w:pPr>
      <w:r>
        <w:t>Lexile does not encode morphology transparency, target familiarity, combining-form/root/base status, transfer contamination, or instructional purpose. Therefore it cannot determine First Volo Flight.</w:t>
      </w:r>
    </w:p>
    <w:p>
      <w:pPr>
        <w:keepLines/>
        <w:spacing w:before="100" w:after="160"/>
        <w:ind w:left="173" w:right="173"/>
        <w:shd w:fill="F5F9FF"/>
        <w:pBdr>
          <w:left w:val="single" w:sz="18" w:space="8" w:color="2876BB"/>
        </w:pBdr>
      </w:pPr>
      <w:r>
        <w:rPr>
          <w:b/>
          <w:color w:val="17365F"/>
        </w:rPr>
        <w:t xml:space="preserve">Working policy: </w:t>
      </w:r>
      <w:r>
        <w:t>Use internal readability signals (including rough proxies if helpful) while drafting; use authorized Lexile measurement privately on finalized excerpts when available; do not publish an unofficial Lexile number.</w:t>
      </w:r>
    </w:p>
    <w:p>
      <w:pPr>
        <w:pStyle w:val="Heading1"/>
        <w:keepNext/>
      </w:pPr>
      <w:r>
        <w:t>16. Passage-length and difficulty specifications</w:t>
      </w:r>
    </w:p>
    <w:p>
      <w:r>
        <w:t>Starting lengths developed in this thread are morphology-task lengths, not rigid grade-level or Lexile bands:</w:t>
      </w:r>
    </w:p>
    <w:p>
      <w:pPr>
        <w:spacing w:after="60"/>
      </w:pPr>
      <w:r>
        <w:rPr>
          <w:b/>
          <w:color w:val="17365F"/>
        </w:rPr>
        <w:t xml:space="preserve">Flight A: </w:t>
      </w:r>
      <w:r>
        <w:t>about 60-90 words; familiar vocabulary, short clauses, transparent bases + affixes.</w:t>
      </w:r>
    </w:p>
    <w:p>
      <w:pPr>
        <w:spacing w:after="60"/>
      </w:pPr>
      <w:r>
        <w:rPr>
          <w:b/>
          <w:color w:val="17365F"/>
        </w:rPr>
        <w:t xml:space="preserve">Flight B: </w:t>
      </w:r>
      <w:r>
        <w:t>about 90-140 words; academic vocabulary, roots/combining forms, some multi-morpheme words.</w:t>
      </w:r>
    </w:p>
    <w:p>
      <w:pPr>
        <w:spacing w:after="60"/>
      </w:pPr>
      <w:r>
        <w:rPr>
          <w:b/>
          <w:color w:val="17365F"/>
        </w:rPr>
        <w:t xml:space="preserve">Flight C: </w:t>
      </w:r>
      <w:r>
        <w:t>about 130-200 words; denser syntax, derivational families, layered morphology, more inference.</w:t>
      </w:r>
    </w:p>
    <w:p>
      <w:pPr>
        <w:pStyle w:val="Heading2"/>
        <w:keepNext/>
      </w:pPr>
      <w:r>
        <w:t>Recommended separate difficulty fields</w:t>
      </w:r>
    </w:p>
    <w:p>
      <w:pPr>
        <w:pStyle w:val="ListBullet"/>
      </w:pPr>
      <w:r>
        <w:t>readingDemand: accessible | moderate | demanding</w:t>
      </w:r>
    </w:p>
    <w:p>
      <w:pPr>
        <w:pStyle w:val="ListBullet"/>
      </w:pPr>
      <w:r>
        <w:t>vocabularyLevel: familiar | academic | stretch</w:t>
      </w:r>
    </w:p>
    <w:p>
      <w:pPr>
        <w:pStyle w:val="ListBullet"/>
      </w:pPr>
      <w:r>
        <w:t>morphologicalComplexity: low | medium | high</w:t>
      </w:r>
    </w:p>
    <w:p>
      <w:pPr>
        <w:pStyle w:val="ListBullet"/>
      </w:pPr>
      <w:r>
        <w:t>syntaxDemand: low | medium | high</w:t>
      </w:r>
    </w:p>
    <w:p>
      <w:pPr>
        <w:pStyle w:val="ListBullet"/>
      </w:pPr>
      <w:r>
        <w:t>sourceGradeTag: retain the source publisher’s tag as metadata only, not as First Volo placement</w:t>
      </w:r>
    </w:p>
    <w:p>
      <w:pPr>
        <w:pStyle w:val="ListBullet"/>
      </w:pPr>
      <w:r>
        <w:t>lexileStatus / internalLexileRange: internal only unless commercially/certifiably measured</w:t>
      </w:r>
    </w:p>
    <w:p>
      <w:pPr>
        <w:pStyle w:val="Heading1"/>
        <w:keepNext/>
      </w:pPr>
      <w:r>
        <w:t>17. Recommended excerpt-bank metadata schema</w:t>
      </w:r>
    </w:p>
    <w:p>
      <w:r>
        <w:t>The current v3 files contain much of this already. The next planning thread can normalize the bank around a schema like the following:</w:t>
      </w:r>
    </w:p>
    <w:p>
      <w:pPr>
        <w:pStyle w:val="CodeBlock"/>
      </w:pPr>
      <w:r>
        <w:t>{</w:t>
        <w:br/>
        <w:t xml:space="preserve">  "id": "B-struct-01",</w:t>
        <w:br/>
        <w:t xml:space="preserve">  "title": "Why a Beaver Is Built That Way",</w:t>
        <w:br/>
        <w:t xml:space="preserve">  "status": "candidate",</w:t>
        <w:br/>
        <w:t xml:space="preserve">  "flight": "B",</w:t>
        <w:br/>
        <w:t xml:space="preserve">  "purpose": ["instructional", "application"],</w:t>
        <w:br/>
        <w:t xml:space="preserve">  "surfaces": ["teacher-apply", "future-read-it", "extension"],</w:t>
        <w:br/>
        <w:t xml:space="preserve">  "extensionEligible": true,</w:t>
        <w:br/>
        <w:br/>
        <w:t xml:space="preserve">  "targetMorphology": [</w:t>
        <w:br/>
        <w:t xml:space="preserve">    {</w:t>
        <w:br/>
        <w:t xml:space="preserve">      "targetId": "struct",</w:t>
        <w:br/>
        <w:t xml:space="preserve">      "part": "struct",</w:t>
        <w:br/>
        <w:t xml:space="preserve">      "linguisticRole": "root",</w:t>
        <w:br/>
        <w:t xml:space="preserve">      "meaning": "build",</w:t>
        <w:br/>
        <w:t xml:space="preserve">      "targetWordsInExcerpt": ["structure", "structures"]</w:t>
        <w:br/>
        <w:t xml:space="preserve">    }</w:t>
        <w:br/>
        <w:t xml:space="preserve">  ],</w:t>
        <w:br/>
        <w:t xml:space="preserve">  "supportingMorphology": [],</w:t>
        <w:br/>
        <w:br/>
        <w:t xml:space="preserve">  "topic": "Animals / structure and function",</w:t>
        <w:br/>
        <w:t xml:space="preserve">  "interestHook": "Why does a beaver need webbed feet, giant teeth, and a paddle-shaped tail?",</w:t>
        <w:br/>
        <w:t xml:space="preserve">  "draftExcerpt": "...",</w:t>
        <w:br/>
        <w:t xml:space="preserve">  "wordCount": 93,</w:t>
        <w:br/>
        <w:t xml:space="preserve">  "vocabularyLevel": "academic",</w:t>
        <w:br/>
        <w:t xml:space="preserve">  "readingDemand": "moderate",</w:t>
        <w:br/>
        <w:t xml:space="preserve">  "syntaxDemand": "moderate",</w:t>
        <w:br/>
        <w:t xml:space="preserve">  "morphologicalComplexity": "medium",</w:t>
        <w:br/>
        <w:br/>
        <w:t xml:space="preserve">  "sourceAgency": "National Park Service",</w:t>
        <w:br/>
        <w:t xml:space="preserve">  "sourceTitle": "Animal Adaptations",</w:t>
        <w:br/>
        <w:t xml:space="preserve">  "sourceUrl": "...",</w:t>
        <w:br/>
        <w:t xml:space="preserve">  "sourceAudience": "Grades 3-5",</w:t>
        <w:br/>
        <w:t xml:space="preserve">  "sourceDate": null,</w:t>
        <w:br/>
        <w:t xml:space="preserve">  "rightsStatus": "verified",</w:t>
        <w:br/>
        <w:t xml:space="preserve">  "rightsCheckedDate": "2026-08-20",</w:t>
        <w:br/>
        <w:t xml:space="preserve">  "adapted": true,</w:t>
        <w:br/>
        <w:t xml:space="preserve">  "attribution": "...",</w:t>
        <w:br/>
        <w:br/>
        <w:t xml:space="preserve">  "lexileStatus": "internal-check-pending",</w:t>
        <w:br/>
        <w:t xml:space="preserve">  "protectionAudit": {</w:t>
        <w:br/>
        <w:t xml:space="preserve">    "prePostConflict": false,</w:t>
        <w:br/>
        <w:t xml:space="preserve">    "migrationChallengeConflict": false,</w:t>
        <w:br/>
        <w:t xml:space="preserve">    "connectedTextTransferConflict": false</w:t>
        <w:br/>
        <w:t xml:space="preserve">  },</w:t>
        <w:br/>
        <w:t xml:space="preserve">  "instructionalCaution": null</w:t>
        <w:br/>
        <w:t>}</w:t>
      </w:r>
    </w:p>
    <w:p>
      <w:pPr>
        <w:pStyle w:val="Heading2"/>
        <w:keepNext/>
      </w:pPr>
      <w:r>
        <w:t>Additional fields worth adding</w:t>
      </w:r>
    </w:p>
    <w:p>
      <w:pPr>
        <w:pStyle w:val="ListBullet"/>
      </w:pPr>
      <w:r>
        <w:t>approvedBy / approvedDate, so candidate vs. production text is explicit.</w:t>
      </w:r>
    </w:p>
    <w:p>
      <w:pPr>
        <w:pStyle w:val="ListBullet"/>
      </w:pPr>
      <w:r>
        <w:t>sourceFactsCheckedDate, especially for current science pages.</w:t>
      </w:r>
    </w:p>
    <w:p>
      <w:pPr>
        <w:pStyle w:val="ListBullet"/>
      </w:pPr>
      <w:r>
        <w:t>officialGradeTag or sourceAudience, kept separate from readingDemand.</w:t>
      </w:r>
    </w:p>
    <w:p>
      <w:pPr>
        <w:pStyle w:val="ListBullet"/>
      </w:pPr>
      <w:r>
        <w:t>targetWordTransparency and targetWordFamiliarity if these help automatic selection.</w:t>
      </w:r>
    </w:p>
    <w:p>
      <w:pPr>
        <w:pStyle w:val="ListBullet"/>
      </w:pPr>
      <w:r>
        <w:t>teacherPrompt and studentPrompt only after the activity/Guidance contract is finalized; keep source passage text separate from First Volo prompts.</w:t>
      </w:r>
    </w:p>
    <w:p>
      <w:pPr>
        <w:pStyle w:val="ListBullet"/>
      </w:pPr>
      <w:r>
        <w:t>protectedReason if an excerpt is rejected or reserved.</w:t>
      </w:r>
    </w:p>
    <w:p>
      <w:pPr>
        <w:pStyle w:val="ListBullet"/>
      </w:pPr>
      <w:r>
        <w:t>retiredReason if a source becomes stale or rights status changes.</w:t>
      </w:r>
    </w:p>
    <w:p>
      <w:pPr>
        <w:pStyle w:val="Heading1"/>
        <w:keepNext/>
      </w:pPr>
      <w:r>
        <w:t>18. Teacher Guidance -&gt; Apply interface contract</w:t>
      </w:r>
    </w:p>
    <w:p>
      <w:pPr>
        <w:keepLines/>
        <w:spacing w:before="100" w:after="160"/>
        <w:ind w:left="173" w:right="173"/>
        <w:shd w:fill="F5F9FF"/>
        <w:pBdr>
          <w:left w:val="single" w:sz="18" w:space="8" w:color="2876BB"/>
        </w:pBdr>
      </w:pPr>
      <w:r>
        <w:rPr>
          <w:b/>
          <w:color w:val="17365F"/>
        </w:rPr>
        <w:t xml:space="preserve">Boundary with the other thread: </w:t>
      </w:r>
      <w:r>
        <w:t>The guidance engine itself is being built elsewhere. This excerpt-planning document specifies only the data contract it should be able to query.</w:t>
      </w:r>
    </w:p>
    <w:p>
      <w:r>
        <w:t>The Teacher Guidance flow should not hard-code passages. It should request the best eligible excerpt from the shared bank based on the student’s exact current target and the instructional purpose.</w:t>
      </w:r>
    </w:p>
    <w:p>
      <w:pPr>
        <w:pStyle w:val="CodeBlock"/>
      </w:pPr>
      <w:r>
        <w:t>request = {</w:t>
        <w:br/>
        <w:t xml:space="preserve">  targetId: "struct",</w:t>
        <w:br/>
        <w:t xml:space="preserve">  flight: "B",</w:t>
        <w:br/>
        <w:t xml:space="preserve">  purpose: "application",</w:t>
        <w:br/>
        <w:t xml:space="preserve">  readingDemand: "moderate",</w:t>
        <w:br/>
        <w:t xml:space="preserve">  vocabularyLevel: "academic",</w:t>
        <w:br/>
        <w:t xml:space="preserve">  excludeProtected: true</w:t>
        <w:br/>
        <w:t>}</w:t>
        <w:br/>
        <w:br/>
        <w:t>result -&gt; B-struct-01 "Why a Beaver Is Built That Way"</w:t>
      </w:r>
    </w:p>
    <w:p>
      <w:pPr>
        <w:pStyle w:val="Heading2"/>
        <w:keepNext/>
      </w:pPr>
      <w:r>
        <w:t>Teacher Apply behavior</w:t>
      </w:r>
    </w:p>
    <w:p>
      <w:pPr>
        <w:pStyle w:val="ListBullet"/>
      </w:pPr>
      <w:r>
        <w:t>Surface a short excerpt matched to the exact target/family.</w:t>
      </w:r>
    </w:p>
    <w:p>
      <w:pPr>
        <w:pStyle w:val="ListBullet"/>
      </w:pPr>
      <w:r>
        <w:t>Tell the educator what the student should do with the passage (for example identify the target word, explain the known part, infer/confirm whole-word meaning).</w:t>
      </w:r>
    </w:p>
    <w:p>
      <w:pPr>
        <w:pStyle w:val="ListBullet"/>
      </w:pPr>
      <w:r>
        <w:t>Do not reuse a protected transfer item in Apply.</w:t>
      </w:r>
    </w:p>
    <w:p>
      <w:pPr>
        <w:pStyle w:val="ListBullet"/>
      </w:pPr>
      <w:r>
        <w:t>If a passage is too demanding for the student, select a different readingDemand version without changing the target Flight.</w:t>
      </w:r>
    </w:p>
    <w:p>
      <w:pPr>
        <w:pStyle w:val="ListBullet"/>
      </w:pPr>
      <w:r>
        <w:t>Keep the actual passage in the excerpt bank; guidance should store/reference the excerpt ID rather than copy the text into recommendation logic.</w:t>
      </w:r>
    </w:p>
    <w:p>
      <w:pPr>
        <w:pStyle w:val="Heading1"/>
        <w:keepNext/>
      </w:pPr>
      <w:r>
        <w:t>19. Future main activity: Read It / In Context</w:t>
      </w:r>
    </w:p>
    <w:p>
      <w:r>
        <w:t>A separate student-facing connected-text activity is recommended eventually, but the exact name and final placement are not locked. “Read It” and “In Context” are working labels only.</w:t>
      </w:r>
    </w:p>
    <w:p>
      <w:pPr>
        <w:pStyle w:val="ListBullet"/>
      </w:pPr>
      <w:r>
        <w:t>Do not cram full connected-text passages into Figure It Out or Use It; those already have distinct instructional jobs.</w:t>
      </w:r>
    </w:p>
    <w:p>
      <w:pPr>
        <w:pStyle w:val="ListBullet"/>
      </w:pPr>
      <w:r>
        <w:t>A likely student sequence is: read the short passage -&gt; find/notice the target word -&gt; use the known morpheme to make a meaning hypothesis -&gt; use context to confirm/refine -&gt; optionally explain which clue came from morphology and which came from context.</w:t>
      </w:r>
    </w:p>
    <w:p>
      <w:pPr>
        <w:pStyle w:val="ListBullet"/>
      </w:pPr>
      <w:r>
        <w:t>Ordinary connected-text activity items can be scored as practice if desired, but that score must remain distinct from protected transfer evidence.</w:t>
      </w:r>
    </w:p>
    <w:p>
      <w:pPr>
        <w:pStyle w:val="ListBullet"/>
      </w:pPr>
      <w:r>
        <w:t>The bank should be sufficiently broad before UI design so the activity is designed around real passage patterns rather than hypothetical content.</w:t>
      </w:r>
    </w:p>
    <w:p>
      <w:pPr>
        <w:pStyle w:val="Heading1"/>
        <w:keepNext/>
      </w:pPr>
      <w:r>
        <w:t>20. Extension activities</w:t>
      </w:r>
    </w:p>
    <w:p>
      <w:r>
        <w:t>The same bank can feed Extend the Learning, but extension should use the material differently: richer content, optional source links, broader cross-curricular connections, and less emphasis on mastery scoring.</w:t>
      </w:r>
    </w:p>
    <w:p>
      <w:pPr>
        <w:pStyle w:val="ListBullet"/>
      </w:pPr>
      <w:r>
        <w:t>Prefer longer/richer or especially interesting passages and source pages.</w:t>
      </w:r>
    </w:p>
    <w:p>
      <w:pPr>
        <w:pStyle w:val="ListBullet"/>
      </w:pPr>
      <w:r>
        <w:t>Possible prompts: find another word containing the target; explain what the known part contributes; identify what context adds; answer one science/history/content question.</w:t>
      </w:r>
    </w:p>
    <w:p>
      <w:pPr>
        <w:pStyle w:val="ListBullet"/>
      </w:pPr>
      <w:r>
        <w:t>Extension should generally be treated as exposure/reinforcement rather than mastery evidence.</w:t>
      </w:r>
    </w:p>
    <w:p>
      <w:pPr>
        <w:pStyle w:val="ListBullet"/>
      </w:pPr>
      <w:r>
        <w:t>Flag strong passages with extensionEligible rather than duplicating them into a separate manual list.</w:t>
      </w:r>
    </w:p>
    <w:p>
      <w:pPr>
        <w:pStyle w:val="ListBullet"/>
      </w:pPr>
      <w:r>
        <w:t>A federal source link can let an interested student/teacher continue into the original source, provided the link/rights are current.</w:t>
      </w:r>
    </w:p>
    <w:p>
      <w:pPr>
        <w:pStyle w:val="Heading1"/>
        <w:keepNext/>
      </w:pPr>
      <w:r>
        <w:t>21. Current v3 candidate bank: 14 excerpts</w:t>
      </w:r>
    </w:p>
    <w:p>
      <w:r>
        <w:t>The current v3 candidate bank contains 14 passages. These are planning candidates, not yet live-site production content. The protection audit found no known conflicts with the 30 Migration Challenge reserved words and no conflicts with the verified formal assessment target list used in this pass.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7365F"/>
            <w:tcMar>
              <w:top w:w="60" w:type="dxa"/>
              <w:start w:w="60" w:type="dxa"/>
              <w:bottom w:w="60" w:type="dxa"/>
              <w:end w:w="60" w:type="dxa"/>
            </w:tcMar>
          </w:tcPr>
          <w:p>
            <w:pPr>
              <w:spacing w:after="40"/>
            </w:pPr>
            <w:r>
              <w:rPr>
                <w:b/>
                <w:color w:val="FFFFFF"/>
                <w:sz w:val="18"/>
              </w:rPr>
              <w:t>ID</w:t>
            </w:r>
          </w:p>
        </w:tc>
        <w:tc>
          <w:tcPr>
            <w:tcW w:type="dxa" w:w="2033"/>
            <w:shd w:fill="17365F"/>
            <w:tcMar>
              <w:top w:w="60" w:type="dxa"/>
              <w:start w:w="60" w:type="dxa"/>
              <w:bottom w:w="60" w:type="dxa"/>
              <w:end w:w="60" w:type="dxa"/>
            </w:tcMar>
          </w:tcPr>
          <w:p>
            <w:pPr>
              <w:spacing w:after="40"/>
            </w:pPr>
            <w:r>
              <w:rPr>
                <w:b/>
                <w:color w:val="FFFFFF"/>
                <w:sz w:val="18"/>
              </w:rPr>
              <w:t>Flight</w:t>
            </w:r>
          </w:p>
        </w:tc>
        <w:tc>
          <w:tcPr>
            <w:tcW w:type="dxa" w:w="2033"/>
            <w:shd w:fill="17365F"/>
            <w:tcMar>
              <w:top w:w="60" w:type="dxa"/>
              <w:start w:w="60" w:type="dxa"/>
              <w:bottom w:w="60" w:type="dxa"/>
              <w:end w:w="60" w:type="dxa"/>
            </w:tcMar>
          </w:tcPr>
          <w:p>
            <w:pPr>
              <w:spacing w:after="40"/>
            </w:pPr>
            <w:r>
              <w:rPr>
                <w:b/>
                <w:color w:val="FFFFFF"/>
                <w:sz w:val="18"/>
              </w:rPr>
              <w:t>Target(s)</w:t>
            </w:r>
          </w:p>
        </w:tc>
        <w:tc>
          <w:tcPr>
            <w:tcW w:type="dxa" w:w="2033"/>
            <w:shd w:fill="17365F"/>
            <w:tcMar>
              <w:top w:w="60" w:type="dxa"/>
              <w:start w:w="60" w:type="dxa"/>
              <w:bottom w:w="60" w:type="dxa"/>
              <w:end w:w="60" w:type="dxa"/>
            </w:tcMar>
          </w:tcPr>
          <w:p>
            <w:pPr>
              <w:spacing w:after="40"/>
            </w:pPr>
            <w:r>
              <w:rPr>
                <w:b/>
                <w:color w:val="FFFFFF"/>
                <w:sz w:val="18"/>
              </w:rPr>
              <w:t>Title / topic</w:t>
            </w:r>
          </w:p>
        </w:tc>
        <w:tc>
          <w:tcPr>
            <w:tcW w:type="dxa" w:w="2033"/>
            <w:shd w:fill="17365F"/>
            <w:tcMar>
              <w:top w:w="60" w:type="dxa"/>
              <w:start w:w="60" w:type="dxa"/>
              <w:bottom w:w="60" w:type="dxa"/>
              <w:end w:w="60" w:type="dxa"/>
            </w:tcMar>
          </w:tcPr>
          <w:p>
            <w:pPr>
              <w:spacing w:after="40"/>
            </w:pPr>
            <w:r>
              <w:rPr>
                <w:b/>
                <w:color w:val="FFFFFF"/>
                <w:sz w:val="18"/>
              </w:rPr>
              <w:t>Use / key note</w:t>
            </w:r>
          </w:p>
        </w:tc>
      </w:tr>
      <w:tr>
        <w:trPr/>
        <w:tc>
          <w:tcPr>
            <w:tcW w:type="dxa" w:w="2033"/>
            <w:tcMar>
              <w:top w:w="60" w:type="dxa"/>
              <w:start w:w="60" w:type="dxa"/>
              <w:bottom w:w="60" w:type="dxa"/>
              <w:end w:w="60" w:type="dxa"/>
            </w:tcMar>
            <w:vAlign w:val="top"/>
          </w:tcPr>
          <w:p>
            <w:pPr>
              <w:spacing w:after="40"/>
            </w:pPr>
            <w:r>
              <w:rPr>
                <w:sz w:val="16"/>
              </w:rPr>
              <w:t>A-comet-01</w:t>
            </w:r>
          </w:p>
        </w:tc>
        <w:tc>
          <w:tcPr>
            <w:tcW w:type="dxa" w:w="2033"/>
            <w:tcMar>
              <w:top w:w="60" w:type="dxa"/>
              <w:start w:w="60" w:type="dxa"/>
              <w:bottom w:w="60" w:type="dxa"/>
              <w:end w:w="60" w:type="dxa"/>
            </w:tcMar>
            <w:vAlign w:val="top"/>
          </w:tcPr>
          <w:p>
            <w:pPr>
              <w:spacing w:after="40"/>
            </w:pPr>
            <w:r>
              <w:rPr>
                <w:sz w:val="16"/>
              </w:rPr>
              <w:t>A</w:t>
            </w:r>
          </w:p>
        </w:tc>
        <w:tc>
          <w:tcPr>
            <w:tcW w:type="dxa" w:w="2033"/>
            <w:tcMar>
              <w:top w:w="60" w:type="dxa"/>
              <w:start w:w="60" w:type="dxa"/>
              <w:bottom w:w="60" w:type="dxa"/>
              <w:end w:w="60" w:type="dxa"/>
            </w:tcMar>
            <w:vAlign w:val="top"/>
          </w:tcPr>
          <w:p>
            <w:pPr>
              <w:spacing w:after="40"/>
            </w:pPr>
            <w:r>
              <w:rPr>
                <w:sz w:val="16"/>
              </w:rPr>
              <w:t>re- (prefix) -&gt; redirects; -ing (suffix) -&gt; heating, forming; -s (suffix) -&gt; moves, changes, streams</w:t>
            </w:r>
          </w:p>
        </w:tc>
        <w:tc>
          <w:tcPr>
            <w:tcW w:type="dxa" w:w="2033"/>
            <w:tcMar>
              <w:top w:w="60" w:type="dxa"/>
              <w:start w:w="60" w:type="dxa"/>
              <w:bottom w:w="60" w:type="dxa"/>
              <w:end w:w="60" w:type="dxa"/>
            </w:tcMar>
            <w:vAlign w:val="top"/>
          </w:tcPr>
          <w:p>
            <w:pPr>
              <w:spacing w:after="40"/>
            </w:pPr>
            <w:r>
              <w:rPr>
                <w:sz w:val="16"/>
              </w:rPr>
              <w:t>A Comet Wakes Up</w:t>
              <w:br/>
              <w:t>Space / comets</w:t>
            </w:r>
          </w:p>
        </w:tc>
        <w:tc>
          <w:tcPr>
            <w:tcW w:type="dxa" w:w="2033"/>
            <w:tcMar>
              <w:top w:w="60" w:type="dxa"/>
              <w:start w:w="60" w:type="dxa"/>
              <w:bottom w:w="60" w:type="dxa"/>
              <w:end w:w="60" w:type="dxa"/>
            </w:tcMar>
            <w:vAlign w:val="top"/>
          </w:tcPr>
          <w:p>
            <w:pPr>
              <w:spacing w:after="40"/>
            </w:pPr>
            <w:r>
              <w:rPr>
                <w:sz w:val="16"/>
              </w:rPr>
              <w:t>instructional / application</w:t>
            </w:r>
          </w:p>
        </w:tc>
      </w:tr>
      <w:tr>
        <w:trPr/>
        <w:tc>
          <w:tcPr>
            <w:tcW w:type="dxa" w:w="2033"/>
            <w:tcMar>
              <w:top w:w="60" w:type="dxa"/>
              <w:start w:w="60" w:type="dxa"/>
              <w:bottom w:w="60" w:type="dxa"/>
              <w:end w:w="60" w:type="dxa"/>
            </w:tcMar>
            <w:vAlign w:val="top"/>
          </w:tcPr>
          <w:p>
            <w:pPr>
              <w:spacing w:after="40"/>
            </w:pPr>
            <w:r>
              <w:rPr>
                <w:sz w:val="16"/>
              </w:rPr>
              <w:t>A-yellowstone-01</w:t>
            </w:r>
          </w:p>
        </w:tc>
        <w:tc>
          <w:tcPr>
            <w:tcW w:type="dxa" w:w="2033"/>
            <w:tcMar>
              <w:top w:w="60" w:type="dxa"/>
              <w:start w:w="60" w:type="dxa"/>
              <w:bottom w:w="60" w:type="dxa"/>
              <w:end w:w="60" w:type="dxa"/>
            </w:tcMar>
            <w:vAlign w:val="top"/>
          </w:tcPr>
          <w:p>
            <w:pPr>
              <w:spacing w:after="40"/>
            </w:pPr>
            <w:r>
              <w:rPr>
                <w:sz w:val="16"/>
              </w:rPr>
              <w:t>A</w:t>
            </w:r>
          </w:p>
        </w:tc>
        <w:tc>
          <w:tcPr>
            <w:tcW w:type="dxa" w:w="2033"/>
            <w:tcMar>
              <w:top w:w="60" w:type="dxa"/>
              <w:start w:w="60" w:type="dxa"/>
              <w:bottom w:w="60" w:type="dxa"/>
              <w:end w:w="60" w:type="dxa"/>
            </w:tcMar>
            <w:vAlign w:val="top"/>
          </w:tcPr>
          <w:p>
            <w:pPr>
              <w:spacing w:after="40"/>
            </w:pPr>
            <w:r>
              <w:rPr>
                <w:sz w:val="16"/>
              </w:rPr>
              <w:t>over- (prefix) -&gt; oversized; under- (prefix) -&gt; underwater; -ing (suffix) -&gt; hibernating</w:t>
            </w:r>
          </w:p>
        </w:tc>
        <w:tc>
          <w:tcPr>
            <w:tcW w:type="dxa" w:w="2033"/>
            <w:tcMar>
              <w:top w:w="60" w:type="dxa"/>
              <w:start w:w="60" w:type="dxa"/>
              <w:bottom w:w="60" w:type="dxa"/>
              <w:end w:w="60" w:type="dxa"/>
            </w:tcMar>
            <w:vAlign w:val="top"/>
          </w:tcPr>
          <w:p>
            <w:pPr>
              <w:spacing w:after="40"/>
            </w:pPr>
            <w:r>
              <w:rPr>
                <w:sz w:val="16"/>
              </w:rPr>
              <w:t>Built for a Yellowstone Winter</w:t>
              <w:br/>
              <w:t>Animals / survival</w:t>
            </w:r>
          </w:p>
        </w:tc>
        <w:tc>
          <w:tcPr>
            <w:tcW w:type="dxa" w:w="2033"/>
            <w:tcMar>
              <w:top w:w="60" w:type="dxa"/>
              <w:start w:w="60" w:type="dxa"/>
              <w:bottom w:w="60" w:type="dxa"/>
              <w:end w:w="60" w:type="dxa"/>
            </w:tcMar>
            <w:vAlign w:val="top"/>
          </w:tcPr>
          <w:p>
            <w:pPr>
              <w:spacing w:after="40"/>
            </w:pPr>
            <w:r>
              <w:rPr>
                <w:sz w:val="16"/>
              </w:rPr>
              <w:t>instructional / application</w:t>
            </w:r>
          </w:p>
        </w:tc>
      </w:tr>
      <w:tr>
        <w:trPr/>
        <w:tc>
          <w:tcPr>
            <w:tcW w:type="dxa" w:w="2033"/>
            <w:tcMar>
              <w:top w:w="60" w:type="dxa"/>
              <w:start w:w="60" w:type="dxa"/>
              <w:bottom w:w="60" w:type="dxa"/>
              <w:end w:w="60" w:type="dxa"/>
            </w:tcMar>
            <w:vAlign w:val="top"/>
          </w:tcPr>
          <w:p>
            <w:pPr>
              <w:spacing w:after="40"/>
            </w:pPr>
            <w:r>
              <w:rPr>
                <w:sz w:val="16"/>
              </w:rPr>
              <w:t>A-desert-01</w:t>
            </w:r>
          </w:p>
        </w:tc>
        <w:tc>
          <w:tcPr>
            <w:tcW w:type="dxa" w:w="2033"/>
            <w:tcMar>
              <w:top w:w="60" w:type="dxa"/>
              <w:start w:w="60" w:type="dxa"/>
              <w:bottom w:w="60" w:type="dxa"/>
              <w:end w:w="60" w:type="dxa"/>
            </w:tcMar>
            <w:vAlign w:val="top"/>
          </w:tcPr>
          <w:p>
            <w:pPr>
              <w:spacing w:after="40"/>
            </w:pPr>
            <w:r>
              <w:rPr>
                <w:sz w:val="16"/>
              </w:rPr>
              <w:t>A</w:t>
            </w:r>
          </w:p>
        </w:tc>
        <w:tc>
          <w:tcPr>
            <w:tcW w:type="dxa" w:w="2033"/>
            <w:tcMar>
              <w:top w:w="60" w:type="dxa"/>
              <w:start w:w="60" w:type="dxa"/>
              <w:bottom w:w="60" w:type="dxa"/>
              <w:end w:w="60" w:type="dxa"/>
            </w:tcMar>
            <w:vAlign w:val="top"/>
          </w:tcPr>
          <w:p>
            <w:pPr>
              <w:spacing w:after="40"/>
            </w:pPr>
            <w:r>
              <w:rPr>
                <w:sz w:val="16"/>
              </w:rPr>
              <w:t>under- (prefix) -&gt; underground; -ing (suffix) -&gt; living; -s (suffix) -&gt; plants, animals, stems, surfaces</w:t>
            </w:r>
          </w:p>
        </w:tc>
        <w:tc>
          <w:tcPr>
            <w:tcW w:type="dxa" w:w="2033"/>
            <w:tcMar>
              <w:top w:w="60" w:type="dxa"/>
              <w:start w:w="60" w:type="dxa"/>
              <w:bottom w:w="60" w:type="dxa"/>
              <w:end w:w="60" w:type="dxa"/>
            </w:tcMar>
            <w:vAlign w:val="top"/>
          </w:tcPr>
          <w:p>
            <w:pPr>
              <w:spacing w:after="40"/>
            </w:pPr>
            <w:r>
              <w:rPr>
                <w:sz w:val="16"/>
              </w:rPr>
              <w:t>How to Survive a Desert</w:t>
              <w:br/>
              <w:t>Animals and plants / desert</w:t>
            </w:r>
          </w:p>
        </w:tc>
        <w:tc>
          <w:tcPr>
            <w:tcW w:type="dxa" w:w="2033"/>
            <w:tcMar>
              <w:top w:w="60" w:type="dxa"/>
              <w:start w:w="60" w:type="dxa"/>
              <w:bottom w:w="60" w:type="dxa"/>
              <w:end w:w="60" w:type="dxa"/>
            </w:tcMar>
            <w:vAlign w:val="top"/>
          </w:tcPr>
          <w:p>
            <w:pPr>
              <w:spacing w:after="40"/>
            </w:pPr>
            <w:r>
              <w:rPr>
                <w:sz w:val="16"/>
              </w:rPr>
              <w:t>instructional / application</w:t>
            </w:r>
          </w:p>
        </w:tc>
      </w:tr>
      <w:tr>
        <w:trPr/>
        <w:tc>
          <w:tcPr>
            <w:tcW w:type="dxa" w:w="2033"/>
            <w:tcMar>
              <w:top w:w="60" w:type="dxa"/>
              <w:start w:w="60" w:type="dxa"/>
              <w:bottom w:w="60" w:type="dxa"/>
              <w:end w:w="60" w:type="dxa"/>
            </w:tcMar>
            <w:vAlign w:val="top"/>
          </w:tcPr>
          <w:p>
            <w:pPr>
              <w:spacing w:after="40"/>
            </w:pPr>
            <w:r>
              <w:rPr>
                <w:sz w:val="16"/>
              </w:rPr>
              <w:t>A-earthquake-01</w:t>
            </w:r>
          </w:p>
        </w:tc>
        <w:tc>
          <w:tcPr>
            <w:tcW w:type="dxa" w:w="2033"/>
            <w:tcMar>
              <w:top w:w="60" w:type="dxa"/>
              <w:start w:w="60" w:type="dxa"/>
              <w:bottom w:w="60" w:type="dxa"/>
              <w:end w:w="60" w:type="dxa"/>
            </w:tcMar>
            <w:vAlign w:val="top"/>
          </w:tcPr>
          <w:p>
            <w:pPr>
              <w:spacing w:after="40"/>
            </w:pPr>
            <w:r>
              <w:rPr>
                <w:sz w:val="16"/>
              </w:rPr>
              <w:t>A</w:t>
            </w:r>
          </w:p>
        </w:tc>
        <w:tc>
          <w:tcPr>
            <w:tcW w:type="dxa" w:w="2033"/>
            <w:tcMar>
              <w:top w:w="60" w:type="dxa"/>
              <w:start w:w="60" w:type="dxa"/>
              <w:bottom w:w="60" w:type="dxa"/>
              <w:end w:w="60" w:type="dxa"/>
            </w:tcMar>
            <w:vAlign w:val="top"/>
          </w:tcPr>
          <w:p>
            <w:pPr>
              <w:spacing w:after="40"/>
            </w:pPr>
            <w:r>
              <w:rPr>
                <w:sz w:val="16"/>
              </w:rPr>
              <w:t>-ed (suffix) -&gt; recorded; -ing (suffix) -&gt; moving, shaking; -s (suffix) -&gt; waves, scientists</w:t>
            </w:r>
          </w:p>
        </w:tc>
        <w:tc>
          <w:tcPr>
            <w:tcW w:type="dxa" w:w="2033"/>
            <w:tcMar>
              <w:top w:w="60" w:type="dxa"/>
              <w:start w:w="60" w:type="dxa"/>
              <w:bottom w:w="60" w:type="dxa"/>
              <w:end w:w="60" w:type="dxa"/>
            </w:tcMar>
            <w:vAlign w:val="top"/>
          </w:tcPr>
          <w:p>
            <w:pPr>
              <w:spacing w:after="40"/>
            </w:pPr>
            <w:r>
              <w:rPr>
                <w:sz w:val="16"/>
              </w:rPr>
              <w:t>Earthquake Waves Race</w:t>
              <w:br/>
              <w:t>Earth science / earthquakes</w:t>
            </w:r>
          </w:p>
        </w:tc>
        <w:tc>
          <w:tcPr>
            <w:tcW w:type="dxa" w:w="2033"/>
            <w:tcMar>
              <w:top w:w="60" w:type="dxa"/>
              <w:start w:w="60" w:type="dxa"/>
              <w:bottom w:w="60" w:type="dxa"/>
              <w:end w:w="60" w:type="dxa"/>
            </w:tcMar>
            <w:vAlign w:val="top"/>
          </w:tcPr>
          <w:p>
            <w:pPr>
              <w:spacing w:after="40"/>
            </w:pPr>
            <w:r>
              <w:rPr>
                <w:sz w:val="16"/>
              </w:rPr>
              <w:t>instructional / application</w:t>
            </w:r>
          </w:p>
        </w:tc>
      </w:tr>
      <w:tr>
        <w:trPr/>
        <w:tc>
          <w:tcPr>
            <w:tcW w:type="dxa" w:w="2033"/>
            <w:tcMar>
              <w:top w:w="60" w:type="dxa"/>
              <w:start w:w="60" w:type="dxa"/>
              <w:bottom w:w="60" w:type="dxa"/>
              <w:end w:w="60" w:type="dxa"/>
            </w:tcMar>
            <w:vAlign w:val="top"/>
          </w:tcPr>
          <w:p>
            <w:pPr>
              <w:spacing w:after="40"/>
            </w:pPr>
            <w:r>
              <w:rPr>
                <w:sz w:val="16"/>
              </w:rPr>
              <w:t>B-tele-01</w:t>
            </w:r>
          </w:p>
        </w:tc>
        <w:tc>
          <w:tcPr>
            <w:tcW w:type="dxa" w:w="2033"/>
            <w:tcMar>
              <w:top w:w="60" w:type="dxa"/>
              <w:start w:w="60" w:type="dxa"/>
              <w:bottom w:w="60" w:type="dxa"/>
              <w:end w:w="60" w:type="dxa"/>
            </w:tcMar>
            <w:vAlign w:val="top"/>
          </w:tcPr>
          <w:p>
            <w:pPr>
              <w:spacing w:after="40"/>
            </w:pPr>
            <w:r>
              <w:rPr>
                <w:sz w:val="16"/>
              </w:rPr>
              <w:t>B</w:t>
            </w:r>
          </w:p>
        </w:tc>
        <w:tc>
          <w:tcPr>
            <w:tcW w:type="dxa" w:w="2033"/>
            <w:tcMar>
              <w:top w:w="60" w:type="dxa"/>
              <w:start w:w="60" w:type="dxa"/>
              <w:bottom w:w="60" w:type="dxa"/>
              <w:end w:w="60" w:type="dxa"/>
            </w:tcMar>
            <w:vAlign w:val="top"/>
          </w:tcPr>
          <w:p>
            <w:pPr>
              <w:spacing w:after="40"/>
            </w:pPr>
            <w:r>
              <w:rPr>
                <w:sz w:val="16"/>
              </w:rPr>
              <w:t>tele (Greek combining form) -&gt; telepresence; -ion (suffix) -&gt; location, expedition</w:t>
            </w:r>
          </w:p>
        </w:tc>
        <w:tc>
          <w:tcPr>
            <w:tcW w:type="dxa" w:w="2033"/>
            <w:tcMar>
              <w:top w:w="60" w:type="dxa"/>
              <w:start w:w="60" w:type="dxa"/>
              <w:bottom w:w="60" w:type="dxa"/>
              <w:end w:w="60" w:type="dxa"/>
            </w:tcMar>
            <w:vAlign w:val="top"/>
          </w:tcPr>
          <w:p>
            <w:pPr>
              <w:spacing w:after="40"/>
            </w:pPr>
            <w:r>
              <w:rPr>
                <w:sz w:val="16"/>
              </w:rPr>
              <w:t>Scientists Join a Dive from Far Away</w:t>
              <w:br/>
              <w:t>Ocean exploration / technology</w:t>
            </w:r>
          </w:p>
        </w:tc>
        <w:tc>
          <w:tcPr>
            <w:tcW w:type="dxa" w:w="2033"/>
            <w:tcMar>
              <w:top w:w="60" w:type="dxa"/>
              <w:start w:w="60" w:type="dxa"/>
              <w:bottom w:w="60" w:type="dxa"/>
              <w:end w:w="60" w:type="dxa"/>
            </w:tcMar>
            <w:vAlign w:val="top"/>
          </w:tcPr>
          <w:p>
            <w:pPr>
              <w:spacing w:after="40"/>
            </w:pPr>
            <w:r>
              <w:rPr>
                <w:sz w:val="16"/>
              </w:rPr>
              <w:t>application; application only</w:t>
            </w:r>
          </w:p>
        </w:tc>
      </w:tr>
      <w:tr>
        <w:trPr/>
        <w:tc>
          <w:tcPr>
            <w:tcW w:type="dxa" w:w="2033"/>
            <w:tcMar>
              <w:top w:w="60" w:type="dxa"/>
              <w:start w:w="60" w:type="dxa"/>
              <w:bottom w:w="60" w:type="dxa"/>
              <w:end w:w="60" w:type="dxa"/>
            </w:tcMar>
            <w:vAlign w:val="top"/>
          </w:tcPr>
          <w:p>
            <w:pPr>
              <w:spacing w:after="40"/>
            </w:pPr>
            <w:r>
              <w:rPr>
                <w:sz w:val="16"/>
              </w:rPr>
              <w:t>B-struct-01</w:t>
            </w:r>
          </w:p>
        </w:tc>
        <w:tc>
          <w:tcPr>
            <w:tcW w:type="dxa" w:w="2033"/>
            <w:tcMar>
              <w:top w:w="60" w:type="dxa"/>
              <w:start w:w="60" w:type="dxa"/>
              <w:bottom w:w="60" w:type="dxa"/>
              <w:end w:w="60" w:type="dxa"/>
            </w:tcMar>
            <w:vAlign w:val="top"/>
          </w:tcPr>
          <w:p>
            <w:pPr>
              <w:spacing w:after="40"/>
            </w:pPr>
            <w:r>
              <w:rPr>
                <w:sz w:val="16"/>
              </w:rPr>
              <w:t>B</w:t>
            </w:r>
          </w:p>
        </w:tc>
        <w:tc>
          <w:tcPr>
            <w:tcW w:type="dxa" w:w="2033"/>
            <w:tcMar>
              <w:top w:w="60" w:type="dxa"/>
              <w:start w:w="60" w:type="dxa"/>
              <w:bottom w:w="60" w:type="dxa"/>
              <w:end w:w="60" w:type="dxa"/>
            </w:tcMar>
            <w:vAlign w:val="top"/>
          </w:tcPr>
          <w:p>
            <w:pPr>
              <w:spacing w:after="40"/>
            </w:pPr>
            <w:r>
              <w:rPr>
                <w:sz w:val="16"/>
              </w:rPr>
              <w:t>struct (root) -&gt; structure, structures; -s (suffix) -&gt; structures, feet, teeth, sounds</w:t>
            </w:r>
          </w:p>
        </w:tc>
        <w:tc>
          <w:tcPr>
            <w:tcW w:type="dxa" w:w="2033"/>
            <w:tcMar>
              <w:top w:w="60" w:type="dxa"/>
              <w:start w:w="60" w:type="dxa"/>
              <w:bottom w:w="60" w:type="dxa"/>
              <w:end w:w="60" w:type="dxa"/>
            </w:tcMar>
            <w:vAlign w:val="top"/>
          </w:tcPr>
          <w:p>
            <w:pPr>
              <w:spacing w:after="40"/>
            </w:pPr>
            <w:r>
              <w:rPr>
                <w:sz w:val="16"/>
              </w:rPr>
              <w:t>Why a Beaver Is Built That Way</w:t>
              <w:br/>
              <w:t>Animals / structure and function</w:t>
            </w:r>
          </w:p>
        </w:tc>
        <w:tc>
          <w:tcPr>
            <w:tcW w:type="dxa" w:w="2033"/>
            <w:tcMar>
              <w:top w:w="60" w:type="dxa"/>
              <w:start w:w="60" w:type="dxa"/>
              <w:bottom w:w="60" w:type="dxa"/>
              <w:end w:w="60" w:type="dxa"/>
            </w:tcMar>
            <w:vAlign w:val="top"/>
          </w:tcPr>
          <w:p>
            <w:pPr>
              <w:spacing w:after="40"/>
            </w:pPr>
            <w:r>
              <w:rPr>
                <w:sz w:val="16"/>
              </w:rPr>
              <w:t>instructional / application</w:t>
            </w:r>
          </w:p>
        </w:tc>
      </w:tr>
      <w:tr>
        <w:trPr/>
        <w:tc>
          <w:tcPr>
            <w:tcW w:type="dxa" w:w="2033"/>
            <w:tcMar>
              <w:top w:w="60" w:type="dxa"/>
              <w:start w:w="60" w:type="dxa"/>
              <w:bottom w:w="60" w:type="dxa"/>
              <w:end w:w="60" w:type="dxa"/>
            </w:tcMar>
            <w:vAlign w:val="top"/>
          </w:tcPr>
          <w:p>
            <w:pPr>
              <w:spacing w:after="40"/>
            </w:pPr>
            <w:r>
              <w:rPr>
                <w:sz w:val="16"/>
              </w:rPr>
              <w:t>B-bio-01</w:t>
            </w:r>
          </w:p>
        </w:tc>
        <w:tc>
          <w:tcPr>
            <w:tcW w:type="dxa" w:w="2033"/>
            <w:tcMar>
              <w:top w:w="60" w:type="dxa"/>
              <w:start w:w="60" w:type="dxa"/>
              <w:bottom w:w="60" w:type="dxa"/>
              <w:end w:w="60" w:type="dxa"/>
            </w:tcMar>
            <w:vAlign w:val="top"/>
          </w:tcPr>
          <w:p>
            <w:pPr>
              <w:spacing w:after="40"/>
            </w:pPr>
            <w:r>
              <w:rPr>
                <w:sz w:val="16"/>
              </w:rPr>
              <w:t>B</w:t>
            </w:r>
          </w:p>
        </w:tc>
        <w:tc>
          <w:tcPr>
            <w:tcW w:type="dxa" w:w="2033"/>
            <w:tcMar>
              <w:top w:w="60" w:type="dxa"/>
              <w:start w:w="60" w:type="dxa"/>
              <w:bottom w:w="60" w:type="dxa"/>
              <w:end w:w="60" w:type="dxa"/>
            </w:tcMar>
            <w:vAlign w:val="top"/>
          </w:tcPr>
          <w:p>
            <w:pPr>
              <w:spacing w:after="40"/>
            </w:pPr>
            <w:r>
              <w:rPr>
                <w:sz w:val="16"/>
              </w:rPr>
              <w:t>bio (Greek combining form) -&gt; bioluminescence, bioluminescent</w:t>
            </w:r>
          </w:p>
        </w:tc>
        <w:tc>
          <w:tcPr>
            <w:tcW w:type="dxa" w:w="2033"/>
            <w:tcMar>
              <w:top w:w="60" w:type="dxa"/>
              <w:start w:w="60" w:type="dxa"/>
              <w:bottom w:w="60" w:type="dxa"/>
              <w:end w:w="60" w:type="dxa"/>
            </w:tcMar>
            <w:vAlign w:val="top"/>
          </w:tcPr>
          <w:p>
            <w:pPr>
              <w:spacing w:after="40"/>
            </w:pPr>
            <w:r>
              <w:rPr>
                <w:sz w:val="16"/>
              </w:rPr>
              <w:t>Living Light in the Deep</w:t>
              <w:br/>
              <w:t>Ocean life / bioluminescence</w:t>
            </w:r>
          </w:p>
        </w:tc>
        <w:tc>
          <w:tcPr>
            <w:tcW w:type="dxa" w:w="2033"/>
            <w:tcMar>
              <w:top w:w="60" w:type="dxa"/>
              <w:start w:w="60" w:type="dxa"/>
              <w:bottom w:w="60" w:type="dxa"/>
              <w:end w:w="60" w:type="dxa"/>
            </w:tcMar>
            <w:vAlign w:val="top"/>
          </w:tcPr>
          <w:p>
            <w:pPr>
              <w:spacing w:after="40"/>
            </w:pPr>
            <w:r>
              <w:rPr>
                <w:sz w:val="16"/>
              </w:rPr>
              <w:t>application; application only</w:t>
            </w:r>
          </w:p>
        </w:tc>
      </w:tr>
      <w:tr>
        <w:trPr/>
        <w:tc>
          <w:tcPr>
            <w:tcW w:type="dxa" w:w="2033"/>
            <w:tcMar>
              <w:top w:w="60" w:type="dxa"/>
              <w:start w:w="60" w:type="dxa"/>
              <w:bottom w:w="60" w:type="dxa"/>
              <w:end w:w="60" w:type="dxa"/>
            </w:tcMar>
            <w:vAlign w:val="top"/>
          </w:tcPr>
          <w:p>
            <w:pPr>
              <w:spacing w:after="40"/>
            </w:pPr>
            <w:r>
              <w:rPr>
                <w:sz w:val="16"/>
              </w:rPr>
              <w:t>C-sequ-01</w:t>
            </w:r>
          </w:p>
        </w:tc>
        <w:tc>
          <w:tcPr>
            <w:tcW w:type="dxa" w:w="2033"/>
            <w:tcMar>
              <w:top w:w="60" w:type="dxa"/>
              <w:start w:w="60" w:type="dxa"/>
              <w:bottom w:w="60" w:type="dxa"/>
              <w:end w:w="60" w:type="dxa"/>
            </w:tcMar>
            <w:vAlign w:val="top"/>
          </w:tcPr>
          <w:p>
            <w:pPr>
              <w:spacing w:after="40"/>
            </w:pPr>
            <w:r>
              <w:rPr>
                <w:sz w:val="16"/>
              </w:rPr>
              <w:t>C</w:t>
            </w:r>
          </w:p>
        </w:tc>
        <w:tc>
          <w:tcPr>
            <w:tcW w:type="dxa" w:w="2033"/>
            <w:tcMar>
              <w:top w:w="60" w:type="dxa"/>
              <w:start w:w="60" w:type="dxa"/>
              <w:bottom w:w="60" w:type="dxa"/>
              <w:end w:w="60" w:type="dxa"/>
            </w:tcMar>
            <w:vAlign w:val="top"/>
          </w:tcPr>
          <w:p>
            <w:pPr>
              <w:spacing w:after="40"/>
            </w:pPr>
            <w:r>
              <w:rPr>
                <w:sz w:val="16"/>
              </w:rPr>
              <w:t>sequ (root) -&gt; sequence, sequences, sequenced; bio (Greek combining form) -&gt; biodiversity</w:t>
            </w:r>
          </w:p>
        </w:tc>
        <w:tc>
          <w:tcPr>
            <w:tcW w:type="dxa" w:w="2033"/>
            <w:tcMar>
              <w:top w:w="60" w:type="dxa"/>
              <w:start w:w="60" w:type="dxa"/>
              <w:bottom w:w="60" w:type="dxa"/>
              <w:end w:w="60" w:type="dxa"/>
            </w:tcMar>
            <w:vAlign w:val="top"/>
          </w:tcPr>
          <w:p>
            <w:pPr>
              <w:spacing w:after="40"/>
            </w:pPr>
            <w:r>
              <w:rPr>
                <w:sz w:val="16"/>
              </w:rPr>
              <w:t>DNA Clues in a Bottle of Seawater</w:t>
              <w:br/>
              <w:t>Ocean science / environmental DNA</w:t>
            </w:r>
          </w:p>
        </w:tc>
        <w:tc>
          <w:tcPr>
            <w:tcW w:type="dxa" w:w="2033"/>
            <w:tcMar>
              <w:top w:w="60" w:type="dxa"/>
              <w:start w:w="60" w:type="dxa"/>
              <w:bottom w:w="60" w:type="dxa"/>
              <w:end w:w="60" w:type="dxa"/>
            </w:tcMar>
            <w:vAlign w:val="top"/>
          </w:tcPr>
          <w:p>
            <w:pPr>
              <w:spacing w:after="40"/>
            </w:pPr>
            <w:r>
              <w:rPr>
                <w:sz w:val="16"/>
              </w:rPr>
              <w:t>application</w:t>
            </w:r>
          </w:p>
        </w:tc>
      </w:tr>
      <w:tr>
        <w:trPr/>
        <w:tc>
          <w:tcPr>
            <w:tcW w:type="dxa" w:w="2033"/>
            <w:tcMar>
              <w:top w:w="60" w:type="dxa"/>
              <w:start w:w="60" w:type="dxa"/>
              <w:bottom w:w="60" w:type="dxa"/>
              <w:end w:w="60" w:type="dxa"/>
            </w:tcMar>
            <w:vAlign w:val="top"/>
          </w:tcPr>
          <w:p>
            <w:pPr>
              <w:spacing w:after="40"/>
            </w:pPr>
            <w:r>
              <w:rPr>
                <w:sz w:val="16"/>
              </w:rPr>
              <w:t>C-aud-01</w:t>
            </w:r>
          </w:p>
        </w:tc>
        <w:tc>
          <w:tcPr>
            <w:tcW w:type="dxa" w:w="2033"/>
            <w:tcMar>
              <w:top w:w="60" w:type="dxa"/>
              <w:start w:w="60" w:type="dxa"/>
              <w:bottom w:w="60" w:type="dxa"/>
              <w:end w:w="60" w:type="dxa"/>
            </w:tcMar>
            <w:vAlign w:val="top"/>
          </w:tcPr>
          <w:p>
            <w:pPr>
              <w:spacing w:after="40"/>
            </w:pPr>
            <w:r>
              <w:rPr>
                <w:sz w:val="16"/>
              </w:rPr>
              <w:t>C</w:t>
            </w:r>
          </w:p>
        </w:tc>
        <w:tc>
          <w:tcPr>
            <w:tcW w:type="dxa" w:w="2033"/>
            <w:tcMar>
              <w:top w:w="60" w:type="dxa"/>
              <w:start w:w="60" w:type="dxa"/>
              <w:bottom w:w="60" w:type="dxa"/>
              <w:end w:w="60" w:type="dxa"/>
            </w:tcMar>
            <w:vAlign w:val="top"/>
          </w:tcPr>
          <w:p>
            <w:pPr>
              <w:spacing w:after="40"/>
            </w:pPr>
            <w:r>
              <w:rPr>
                <w:sz w:val="16"/>
              </w:rPr>
              <w:t>aud (root) -&gt; auditory, audio; re- (prefix) -&gt; recording, recordings</w:t>
            </w:r>
          </w:p>
        </w:tc>
        <w:tc>
          <w:tcPr>
            <w:tcW w:type="dxa" w:w="2033"/>
            <w:tcMar>
              <w:top w:w="60" w:type="dxa"/>
              <w:start w:w="60" w:type="dxa"/>
              <w:bottom w:w="60" w:type="dxa"/>
              <w:end w:w="60" w:type="dxa"/>
            </w:tcMar>
            <w:vAlign w:val="top"/>
          </w:tcPr>
          <w:p>
            <w:pPr>
              <w:spacing w:after="40"/>
            </w:pPr>
            <w:r>
              <w:rPr>
                <w:sz w:val="16"/>
              </w:rPr>
              <w:t>Listening for Bats in the Dark</w:t>
              <w:br/>
              <w:t>Animals / sound</w:t>
            </w:r>
          </w:p>
        </w:tc>
        <w:tc>
          <w:tcPr>
            <w:tcW w:type="dxa" w:w="2033"/>
            <w:tcMar>
              <w:top w:w="60" w:type="dxa"/>
              <w:start w:w="60" w:type="dxa"/>
              <w:bottom w:w="60" w:type="dxa"/>
              <w:end w:w="60" w:type="dxa"/>
            </w:tcMar>
            <w:vAlign w:val="top"/>
          </w:tcPr>
          <w:p>
            <w:pPr>
              <w:spacing w:after="40"/>
            </w:pPr>
            <w:r>
              <w:rPr>
                <w:sz w:val="16"/>
              </w:rPr>
              <w:t>instructional / application; revised to remove audible/inaudible</w:t>
            </w:r>
          </w:p>
        </w:tc>
      </w:tr>
      <w:tr>
        <w:trPr/>
        <w:tc>
          <w:tcPr>
            <w:tcW w:type="dxa" w:w="2033"/>
            <w:tcMar>
              <w:top w:w="60" w:type="dxa"/>
              <w:start w:w="60" w:type="dxa"/>
              <w:bottom w:w="60" w:type="dxa"/>
              <w:end w:w="60" w:type="dxa"/>
            </w:tcMar>
            <w:vAlign w:val="top"/>
          </w:tcPr>
          <w:p>
            <w:pPr>
              <w:spacing w:after="40"/>
            </w:pPr>
            <w:r>
              <w:rPr>
                <w:sz w:val="16"/>
              </w:rPr>
              <w:t>C-vert-01</w:t>
            </w:r>
          </w:p>
        </w:tc>
        <w:tc>
          <w:tcPr>
            <w:tcW w:type="dxa" w:w="2033"/>
            <w:tcMar>
              <w:top w:w="60" w:type="dxa"/>
              <w:start w:w="60" w:type="dxa"/>
              <w:bottom w:w="60" w:type="dxa"/>
              <w:end w:w="60" w:type="dxa"/>
            </w:tcMar>
            <w:vAlign w:val="top"/>
          </w:tcPr>
          <w:p>
            <w:pPr>
              <w:spacing w:after="40"/>
            </w:pPr>
            <w:r>
              <w:rPr>
                <w:sz w:val="16"/>
              </w:rPr>
              <w:t>C</w:t>
            </w:r>
          </w:p>
        </w:tc>
        <w:tc>
          <w:tcPr>
            <w:tcW w:type="dxa" w:w="2033"/>
            <w:tcMar>
              <w:top w:w="60" w:type="dxa"/>
              <w:start w:w="60" w:type="dxa"/>
              <w:bottom w:w="60" w:type="dxa"/>
              <w:end w:w="60" w:type="dxa"/>
            </w:tcMar>
            <w:vAlign w:val="top"/>
          </w:tcPr>
          <w:p>
            <w:pPr>
              <w:spacing w:after="40"/>
            </w:pPr>
            <w:r>
              <w:rPr>
                <w:sz w:val="16"/>
              </w:rPr>
              <w:t>vert (root) -&gt; convert, converts; -ion (suffix) -&gt; motion</w:t>
            </w:r>
          </w:p>
        </w:tc>
        <w:tc>
          <w:tcPr>
            <w:tcW w:type="dxa" w:w="2033"/>
            <w:tcMar>
              <w:top w:w="60" w:type="dxa"/>
              <w:start w:w="60" w:type="dxa"/>
              <w:bottom w:w="60" w:type="dxa"/>
              <w:end w:w="60" w:type="dxa"/>
            </w:tcMar>
            <w:vAlign w:val="top"/>
          </w:tcPr>
          <w:p>
            <w:pPr>
              <w:spacing w:after="40"/>
            </w:pPr>
            <w:r>
              <w:rPr>
                <w:sz w:val="16"/>
              </w:rPr>
              <w:t>How an Underwater Robot Moves</w:t>
              <w:br/>
              <w:t>Engineering / underwater robots</w:t>
            </w:r>
          </w:p>
        </w:tc>
        <w:tc>
          <w:tcPr>
            <w:tcW w:type="dxa" w:w="2033"/>
            <w:tcMar>
              <w:top w:w="60" w:type="dxa"/>
              <w:start w:w="60" w:type="dxa"/>
              <w:bottom w:w="60" w:type="dxa"/>
              <w:end w:w="60" w:type="dxa"/>
            </w:tcMar>
            <w:vAlign w:val="top"/>
          </w:tcPr>
          <w:p>
            <w:pPr>
              <w:spacing w:after="40"/>
            </w:pPr>
            <w:r>
              <w:rPr>
                <w:sz w:val="16"/>
              </w:rPr>
              <w:t>instructional / application</w:t>
            </w:r>
          </w:p>
        </w:tc>
      </w:tr>
      <w:tr>
        <w:trPr/>
        <w:tc>
          <w:tcPr>
            <w:tcW w:type="dxa" w:w="2033"/>
            <w:tcMar>
              <w:top w:w="60" w:type="dxa"/>
              <w:start w:w="60" w:type="dxa"/>
              <w:bottom w:w="60" w:type="dxa"/>
              <w:end w:w="60" w:type="dxa"/>
            </w:tcMar>
            <w:vAlign w:val="top"/>
          </w:tcPr>
          <w:p>
            <w:pPr>
              <w:spacing w:after="40"/>
            </w:pPr>
            <w:r>
              <w:rPr>
                <w:sz w:val="16"/>
              </w:rPr>
              <w:t>C-struct-02</w:t>
            </w:r>
          </w:p>
        </w:tc>
        <w:tc>
          <w:tcPr>
            <w:tcW w:type="dxa" w:w="2033"/>
            <w:tcMar>
              <w:top w:w="60" w:type="dxa"/>
              <w:start w:w="60" w:type="dxa"/>
              <w:bottom w:w="60" w:type="dxa"/>
              <w:end w:w="60" w:type="dxa"/>
            </w:tcMar>
            <w:vAlign w:val="top"/>
          </w:tcPr>
          <w:p>
            <w:pPr>
              <w:spacing w:after="40"/>
            </w:pPr>
            <w:r>
              <w:rPr>
                <w:sz w:val="16"/>
              </w:rPr>
              <w:t>C</w:t>
            </w:r>
          </w:p>
        </w:tc>
        <w:tc>
          <w:tcPr>
            <w:tcW w:type="dxa" w:w="2033"/>
            <w:tcMar>
              <w:top w:w="60" w:type="dxa"/>
              <w:start w:w="60" w:type="dxa"/>
              <w:bottom w:w="60" w:type="dxa"/>
              <w:end w:w="60" w:type="dxa"/>
            </w:tcMar>
            <w:vAlign w:val="top"/>
          </w:tcPr>
          <w:p>
            <w:pPr>
              <w:spacing w:after="40"/>
            </w:pPr>
            <w:r>
              <w:rPr>
                <w:sz w:val="16"/>
              </w:rPr>
              <w:t>struct (root) -&gt; structure, construct; -tion (suffix) -&gt; composition, distribution</w:t>
            </w:r>
          </w:p>
        </w:tc>
        <w:tc>
          <w:tcPr>
            <w:tcW w:type="dxa" w:w="2033"/>
            <w:tcMar>
              <w:top w:w="60" w:type="dxa"/>
              <w:start w:w="60" w:type="dxa"/>
              <w:bottom w:w="60" w:type="dxa"/>
              <w:end w:w="60" w:type="dxa"/>
            </w:tcMar>
            <w:vAlign w:val="top"/>
          </w:tcPr>
          <w:p>
            <w:pPr>
              <w:spacing w:after="40"/>
            </w:pPr>
            <w:r>
              <w:rPr>
                <w:sz w:val="16"/>
              </w:rPr>
              <w:t>Why Earthquake-Resistant Buildings Matter</w:t>
              <w:br/>
              <w:t>Earth science / engineering</w:t>
            </w:r>
          </w:p>
        </w:tc>
        <w:tc>
          <w:tcPr>
            <w:tcW w:type="dxa" w:w="2033"/>
            <w:tcMar>
              <w:top w:w="60" w:type="dxa"/>
              <w:start w:w="60" w:type="dxa"/>
              <w:bottom w:w="60" w:type="dxa"/>
              <w:end w:w="60" w:type="dxa"/>
            </w:tcMar>
            <w:vAlign w:val="top"/>
          </w:tcPr>
          <w:p>
            <w:pPr>
              <w:spacing w:after="40"/>
            </w:pPr>
            <w:r>
              <w:rPr>
                <w:sz w:val="16"/>
              </w:rPr>
              <w:t>application</w:t>
            </w:r>
          </w:p>
        </w:tc>
      </w:tr>
      <w:tr>
        <w:trPr/>
        <w:tc>
          <w:tcPr>
            <w:tcW w:type="dxa" w:w="2033"/>
            <w:tcMar>
              <w:top w:w="60" w:type="dxa"/>
              <w:start w:w="60" w:type="dxa"/>
              <w:bottom w:w="60" w:type="dxa"/>
              <w:end w:w="60" w:type="dxa"/>
            </w:tcMar>
            <w:vAlign w:val="top"/>
          </w:tcPr>
          <w:p>
            <w:pPr>
              <w:spacing w:after="40"/>
            </w:pPr>
            <w:r>
              <w:rPr>
                <w:sz w:val="16"/>
              </w:rPr>
              <w:t>B-telescope-01</w:t>
            </w:r>
          </w:p>
        </w:tc>
        <w:tc>
          <w:tcPr>
            <w:tcW w:type="dxa" w:w="2033"/>
            <w:tcMar>
              <w:top w:w="60" w:type="dxa"/>
              <w:start w:w="60" w:type="dxa"/>
              <w:bottom w:w="60" w:type="dxa"/>
              <w:end w:w="60" w:type="dxa"/>
            </w:tcMar>
            <w:vAlign w:val="top"/>
          </w:tcPr>
          <w:p>
            <w:pPr>
              <w:spacing w:after="40"/>
            </w:pPr>
            <w:r>
              <w:rPr>
                <w:sz w:val="16"/>
              </w:rPr>
              <w:t>B</w:t>
            </w:r>
          </w:p>
        </w:tc>
        <w:tc>
          <w:tcPr>
            <w:tcW w:type="dxa" w:w="2033"/>
            <w:tcMar>
              <w:top w:w="60" w:type="dxa"/>
              <w:start w:w="60" w:type="dxa"/>
              <w:bottom w:w="60" w:type="dxa"/>
              <w:end w:w="60" w:type="dxa"/>
            </w:tcMar>
            <w:vAlign w:val="top"/>
          </w:tcPr>
          <w:p>
            <w:pPr>
              <w:spacing w:after="40"/>
            </w:pPr>
            <w:r>
              <w:rPr>
                <w:sz w:val="16"/>
              </w:rPr>
              <w:t>tele (Greek combining form) -&gt; telescope; scope (Greek combining form) -&gt; telescope</w:t>
            </w:r>
          </w:p>
        </w:tc>
        <w:tc>
          <w:tcPr>
            <w:tcW w:type="dxa" w:w="2033"/>
            <w:tcMar>
              <w:top w:w="60" w:type="dxa"/>
              <w:start w:w="60" w:type="dxa"/>
              <w:bottom w:w="60" w:type="dxa"/>
              <w:end w:w="60" w:type="dxa"/>
            </w:tcMar>
            <w:vAlign w:val="top"/>
          </w:tcPr>
          <w:p>
            <w:pPr>
              <w:spacing w:after="40"/>
            </w:pPr>
            <w:r>
              <w:rPr>
                <w:sz w:val="16"/>
              </w:rPr>
              <w:t>A Tool for Looking Far Away</w:t>
              <w:br/>
              <w:t>Space / telescopes</w:t>
            </w:r>
          </w:p>
        </w:tc>
        <w:tc>
          <w:tcPr>
            <w:tcW w:type="dxa" w:w="2033"/>
            <w:tcMar>
              <w:top w:w="60" w:type="dxa"/>
              <w:start w:w="60" w:type="dxa"/>
              <w:bottom w:w="60" w:type="dxa"/>
              <w:end w:w="60" w:type="dxa"/>
            </w:tcMar>
            <w:vAlign w:val="top"/>
          </w:tcPr>
          <w:p>
            <w:pPr>
              <w:spacing w:after="40"/>
            </w:pPr>
            <w:r>
              <w:rPr>
                <w:sz w:val="16"/>
              </w:rPr>
              <w:t>instructional / application</w:t>
            </w:r>
          </w:p>
        </w:tc>
      </w:tr>
      <w:tr>
        <w:trPr/>
        <w:tc>
          <w:tcPr>
            <w:tcW w:type="dxa" w:w="2033"/>
            <w:tcMar>
              <w:top w:w="60" w:type="dxa"/>
              <w:start w:w="60" w:type="dxa"/>
              <w:bottom w:w="60" w:type="dxa"/>
              <w:end w:w="60" w:type="dxa"/>
            </w:tcMar>
            <w:vAlign w:val="top"/>
          </w:tcPr>
          <w:p>
            <w:pPr>
              <w:spacing w:after="40"/>
            </w:pPr>
            <w:r>
              <w:rPr>
                <w:sz w:val="16"/>
              </w:rPr>
              <w:t>B-therm-01</w:t>
            </w:r>
          </w:p>
        </w:tc>
        <w:tc>
          <w:tcPr>
            <w:tcW w:type="dxa" w:w="2033"/>
            <w:tcMar>
              <w:top w:w="60" w:type="dxa"/>
              <w:start w:w="60" w:type="dxa"/>
              <w:bottom w:w="60" w:type="dxa"/>
              <w:end w:w="60" w:type="dxa"/>
            </w:tcMar>
            <w:vAlign w:val="top"/>
          </w:tcPr>
          <w:p>
            <w:pPr>
              <w:spacing w:after="40"/>
            </w:pPr>
            <w:r>
              <w:rPr>
                <w:sz w:val="16"/>
              </w:rPr>
              <w:t>B</w:t>
            </w:r>
          </w:p>
        </w:tc>
        <w:tc>
          <w:tcPr>
            <w:tcW w:type="dxa" w:w="2033"/>
            <w:tcMar>
              <w:top w:w="60" w:type="dxa"/>
              <w:start w:w="60" w:type="dxa"/>
              <w:bottom w:w="60" w:type="dxa"/>
              <w:end w:w="60" w:type="dxa"/>
            </w:tcMar>
            <w:vAlign w:val="top"/>
          </w:tcPr>
          <w:p>
            <w:pPr>
              <w:spacing w:after="40"/>
            </w:pPr>
            <w:r>
              <w:rPr>
                <w:sz w:val="16"/>
              </w:rPr>
              <w:t>therm (Greek combining form) -&gt; hydrothermal, thermal; -al (suffix) -&gt; thermal</w:t>
            </w:r>
          </w:p>
        </w:tc>
        <w:tc>
          <w:tcPr>
            <w:tcW w:type="dxa" w:w="2033"/>
            <w:tcMar>
              <w:top w:w="60" w:type="dxa"/>
              <w:start w:w="60" w:type="dxa"/>
              <w:bottom w:w="60" w:type="dxa"/>
              <w:end w:w="60" w:type="dxa"/>
            </w:tcMar>
            <w:vAlign w:val="top"/>
          </w:tcPr>
          <w:p>
            <w:pPr>
              <w:spacing w:after="40"/>
            </w:pPr>
            <w:r>
              <w:rPr>
                <w:sz w:val="16"/>
              </w:rPr>
              <w:t>Hot Water at the Bottom of the Ocean</w:t>
              <w:br/>
              <w:t>Ocean exploration / hydrothermal vents</w:t>
            </w:r>
          </w:p>
        </w:tc>
        <w:tc>
          <w:tcPr>
            <w:tcW w:type="dxa" w:w="2033"/>
            <w:tcMar>
              <w:top w:w="60" w:type="dxa"/>
              <w:start w:w="60" w:type="dxa"/>
              <w:bottom w:w="60" w:type="dxa"/>
              <w:end w:w="60" w:type="dxa"/>
            </w:tcMar>
            <w:vAlign w:val="top"/>
          </w:tcPr>
          <w:p>
            <w:pPr>
              <w:spacing w:after="40"/>
            </w:pPr>
            <w:r>
              <w:rPr>
                <w:sz w:val="16"/>
              </w:rPr>
              <w:t>application</w:t>
            </w:r>
          </w:p>
        </w:tc>
      </w:tr>
      <w:tr>
        <w:trPr/>
        <w:tc>
          <w:tcPr>
            <w:tcW w:type="dxa" w:w="2033"/>
            <w:tcMar>
              <w:top w:w="60" w:type="dxa"/>
              <w:start w:w="60" w:type="dxa"/>
              <w:bottom w:w="60" w:type="dxa"/>
              <w:end w:w="60" w:type="dxa"/>
            </w:tcMar>
            <w:vAlign w:val="top"/>
          </w:tcPr>
          <w:p>
            <w:pPr>
              <w:spacing w:after="40"/>
            </w:pPr>
            <w:r>
              <w:rPr>
                <w:sz w:val="16"/>
              </w:rPr>
              <w:t>C-terr-01</w:t>
            </w:r>
          </w:p>
        </w:tc>
        <w:tc>
          <w:tcPr>
            <w:tcW w:type="dxa" w:w="2033"/>
            <w:tcMar>
              <w:top w:w="60" w:type="dxa"/>
              <w:start w:w="60" w:type="dxa"/>
              <w:bottom w:w="60" w:type="dxa"/>
              <w:end w:w="60" w:type="dxa"/>
            </w:tcMar>
            <w:vAlign w:val="top"/>
          </w:tcPr>
          <w:p>
            <w:pPr>
              <w:spacing w:after="40"/>
            </w:pPr>
            <w:r>
              <w:rPr>
                <w:sz w:val="16"/>
              </w:rPr>
              <w:t>C</w:t>
            </w:r>
          </w:p>
        </w:tc>
        <w:tc>
          <w:tcPr>
            <w:tcW w:type="dxa" w:w="2033"/>
            <w:tcMar>
              <w:top w:w="60" w:type="dxa"/>
              <w:start w:w="60" w:type="dxa"/>
              <w:bottom w:w="60" w:type="dxa"/>
              <w:end w:w="60" w:type="dxa"/>
            </w:tcMar>
            <w:vAlign w:val="top"/>
          </w:tcPr>
          <w:p>
            <w:pPr>
              <w:spacing w:after="40"/>
            </w:pPr>
            <w:r>
              <w:rPr>
                <w:sz w:val="16"/>
              </w:rPr>
              <w:t>terr (root) -&gt; terrestrial</w:t>
            </w:r>
          </w:p>
        </w:tc>
        <w:tc>
          <w:tcPr>
            <w:tcW w:type="dxa" w:w="2033"/>
            <w:tcMar>
              <w:top w:w="60" w:type="dxa"/>
              <w:start w:w="60" w:type="dxa"/>
              <w:bottom w:w="60" w:type="dxa"/>
              <w:end w:w="60" w:type="dxa"/>
            </w:tcMar>
            <w:vAlign w:val="top"/>
          </w:tcPr>
          <w:p>
            <w:pPr>
              <w:spacing w:after="40"/>
            </w:pPr>
            <w:r>
              <w:rPr>
                <w:sz w:val="16"/>
              </w:rPr>
              <w:t>What Makes a Planet Terrestrial?</w:t>
              <w:br/>
              <w:t>Space / rocky planets</w:t>
            </w:r>
          </w:p>
        </w:tc>
        <w:tc>
          <w:tcPr>
            <w:tcW w:type="dxa" w:w="2033"/>
            <w:tcMar>
              <w:top w:w="60" w:type="dxa"/>
              <w:start w:w="60" w:type="dxa"/>
              <w:bottom w:w="60" w:type="dxa"/>
              <w:end w:w="60" w:type="dxa"/>
            </w:tcMar>
            <w:vAlign w:val="top"/>
          </w:tcPr>
          <w:p>
            <w:pPr>
              <w:spacing w:after="40"/>
            </w:pPr>
            <w:r>
              <w:rPr>
                <w:sz w:val="16"/>
              </w:rPr>
              <w:t>instructional / application</w:t>
            </w:r>
          </w:p>
        </w:tc>
      </w:tr>
    </w:tbl>
    <w:p>
      <w:pPr>
        <w:pStyle w:val="Heading2"/>
        <w:keepNext/>
      </w:pPr>
      <w:r>
        <w:t>Important v3 decisions already made</w:t>
      </w:r>
    </w:p>
    <w:p>
      <w:pPr>
        <w:pStyle w:val="ListBullet"/>
      </w:pPr>
      <w:r>
        <w:t>C-aud-01 was revised to use auditory/audio instead of the protected formal assessment words audible/inaudible.</w:t>
      </w:r>
    </w:p>
    <w:p>
      <w:pPr>
        <w:pStyle w:val="ListBullet"/>
      </w:pPr>
      <w:r>
        <w:t>B-bio-01 was reclassified as application-only: bio is a useful clue in bioluminescence, but bio alone does not make the full word transparently derivable.</w:t>
      </w:r>
    </w:p>
    <w:p>
      <w:pPr>
        <w:pStyle w:val="ListBullet"/>
      </w:pPr>
      <w:r>
        <w:t>B-tele-01 was reclassified as application-only: tele is a useful known clue in telepresence, but the remainder is not a fully taught First Volo word-part build.</w:t>
      </w:r>
    </w:p>
    <w:p>
      <w:pPr>
        <w:pStyle w:val="ListBullet"/>
      </w:pPr>
      <w:r>
        <w:t>C-vert-01 carries a caution that convert is medium-transparency; context/scaffolding should support con- + vert reasoning rather than oversimplifying the word.</w:t>
      </w:r>
    </w:p>
    <w:p>
      <w:pPr>
        <w:pStyle w:val="ListBullet"/>
      </w:pPr>
      <w:r>
        <w:t>C-sequ-01 can teach/apply sequ with sequence/sequences while subsequent remains reserved for the Migration Challenge.</w:t>
      </w:r>
    </w:p>
    <w:p>
      <w:pPr>
        <w:pStyle w:val="ListBullet"/>
      </w:pPr>
      <w:r>
        <w:t>C-struct-02 intentionally demonstrates cumulative morphology: struct can be a known earlier target used in a denser later passage.</w:t>
      </w:r>
    </w:p>
    <w:p>
      <w:pPr>
        <w:pStyle w:val="Heading1"/>
        <w:keepNext/>
      </w:pPr>
      <w:r>
        <w:t>22. Coverage-audit plan and expansion workflow</w:t>
      </w:r>
    </w:p>
    <w:p>
      <w:pPr>
        <w:keepLines/>
        <w:spacing w:before="100" w:after="160"/>
        <w:ind w:left="173" w:right="173"/>
        <w:shd w:fill="F5F9FF"/>
        <w:pBdr>
          <w:left w:val="single" w:sz="18" w:space="8" w:color="2876BB"/>
        </w:pBdr>
      </w:pPr>
      <w:r>
        <w:rPr>
          <w:b/>
          <w:color w:val="17365F"/>
        </w:rPr>
        <w:t xml:space="preserve">Immediate next step: </w:t>
      </w:r>
      <w:r>
        <w:t>Build a coverage map against the actual Scope &amp; Sequence, then fill gaps target-by-target. Do not continue adding random passages just because they are interesting.</w:t>
      </w:r>
    </w:p>
    <w:p>
      <w:pPr>
        <w:pStyle w:val="Heading2"/>
        <w:keepNext/>
      </w:pPr>
      <w:r>
        <w:t>Coverage map fields</w:t>
      </w:r>
    </w:p>
    <w:p>
      <w:pPr>
        <w:pStyle w:val="ListBullet"/>
      </w:pPr>
      <w:r>
        <w:t>Flight</w:t>
      </w:r>
    </w:p>
    <w:p>
      <w:pPr>
        <w:pStyle w:val="ListBullet"/>
      </w:pPr>
      <w:r>
        <w:t>target ID / exact morpheme</w:t>
      </w:r>
    </w:p>
    <w:p>
      <w:pPr>
        <w:pStyle w:val="ListBullet"/>
      </w:pPr>
      <w:r>
        <w:t>exact linguistic role (base, root, Greek combining form, prefix, suffix)</w:t>
      </w:r>
    </w:p>
    <w:p>
      <w:pPr>
        <w:pStyle w:val="ListBullet"/>
      </w:pPr>
      <w:r>
        <w:t>already has usable passage? yes/no</w:t>
      </w:r>
    </w:p>
    <w:p>
      <w:pPr>
        <w:pStyle w:val="ListBullet"/>
      </w:pPr>
      <w:r>
        <w:t>instructional passage available?</w:t>
      </w:r>
    </w:p>
    <w:p>
      <w:pPr>
        <w:pStyle w:val="ListBullet"/>
      </w:pPr>
      <w:r>
        <w:t>application passage available?</w:t>
      </w:r>
    </w:p>
    <w:p>
      <w:pPr>
        <w:pStyle w:val="ListBullet"/>
      </w:pPr>
      <w:r>
        <w:t>teacher-guidance eligible?</w:t>
      </w:r>
    </w:p>
    <w:p>
      <w:pPr>
        <w:pStyle w:val="ListBullet"/>
      </w:pPr>
      <w:r>
        <w:t>future main-activity eligible?</w:t>
      </w:r>
    </w:p>
    <w:p>
      <w:pPr>
        <w:pStyle w:val="ListBullet"/>
      </w:pPr>
      <w:r>
        <w:t>extension eligible?</w:t>
      </w:r>
    </w:p>
    <w:p>
      <w:pPr>
        <w:pStyle w:val="ListBullet"/>
      </w:pPr>
      <w:r>
        <w:t>readingDemand: accessible/moderate/demanding</w:t>
      </w:r>
    </w:p>
    <w:p>
      <w:pPr>
        <w:pStyle w:val="ListBullet"/>
      </w:pPr>
      <w:r>
        <w:t>vocabularyLevel</w:t>
      </w:r>
    </w:p>
    <w:p>
      <w:pPr>
        <w:pStyle w:val="ListBullet"/>
      </w:pPr>
      <w:r>
        <w:t>interest/topic</w:t>
      </w:r>
    </w:p>
    <w:p>
      <w:pPr>
        <w:pStyle w:val="ListBullet"/>
      </w:pPr>
      <w:r>
        <w:t>rights/source verified?</w:t>
      </w:r>
    </w:p>
    <w:p>
      <w:pPr>
        <w:pStyle w:val="ListBullet"/>
      </w:pPr>
      <w:r>
        <w:t>pre/post conflict?</w:t>
      </w:r>
    </w:p>
    <w:p>
      <w:pPr>
        <w:pStyle w:val="ListBullet"/>
      </w:pPr>
      <w:r>
        <w:t>Migration Challenge conflict?</w:t>
      </w:r>
    </w:p>
    <w:p>
      <w:pPr>
        <w:pStyle w:val="ListBullet"/>
      </w:pPr>
      <w:r>
        <w:t>future connected-text transfer conflict?</w:t>
      </w:r>
    </w:p>
    <w:p>
      <w:pPr>
        <w:pStyle w:val="ListBullet"/>
      </w:pPr>
      <w:r>
        <w:t>Lexile/internal readability status</w:t>
      </w:r>
    </w:p>
    <w:p>
      <w:pPr>
        <w:pStyle w:val="ListBullet"/>
      </w:pPr>
      <w:r>
        <w:t>next needed passage/source search</w:t>
      </w:r>
    </w:p>
    <w:p>
      <w:pPr>
        <w:pStyle w:val="Heading2"/>
        <w:keepNext/>
      </w:pPr>
      <w:r>
        <w:t>Target-driven expansion workflow</w:t>
      </w:r>
    </w:p>
    <w:p>
      <w:pPr>
        <w:ind w:left="0" w:firstLine="0"/>
      </w:pPr>
      <w:r>
        <w:rPr>
          <w:b w:val="0"/>
        </w:rPr>
        <w:t xml:space="preserve">1.  </w:t>
      </w:r>
      <w:r>
        <w:t>Read the current Curriculum Map / Scope &amp; Sequence and live word inventory.</w:t>
      </w:r>
    </w:p>
    <w:p>
      <w:pPr>
        <w:ind w:left="0" w:firstLine="0"/>
      </w:pPr>
      <w:r>
        <w:rPr>
          <w:b w:val="0"/>
        </w:rPr>
        <w:t xml:space="preserve">2.  </w:t>
      </w:r>
      <w:r>
        <w:t>Identify targets with no strong connected-text coverage, prioritizing high-utility targets and target types that diversify the bank.</w:t>
      </w:r>
    </w:p>
    <w:p>
      <w:pPr>
        <w:ind w:left="0" w:firstLine="0"/>
      </w:pPr>
      <w:r>
        <w:rPr>
          <w:b w:val="0"/>
        </w:rPr>
        <w:t xml:space="preserve">3.  </w:t>
      </w:r>
      <w:r>
        <w:t>Search current federal sources first for factual nonfiction; search curated public-domain literature for narrative needs.</w:t>
      </w:r>
    </w:p>
    <w:p>
      <w:pPr>
        <w:ind w:left="0" w:firstLine="0"/>
      </w:pPr>
      <w:r>
        <w:rPr>
          <w:b w:val="0"/>
        </w:rPr>
        <w:t xml:space="preserve">4.  </w:t>
      </w:r>
      <w:r>
        <w:t>Choose the exact passage/adaptation based on interestingness, morphology usefulness, and reading demand.</w:t>
      </w:r>
    </w:p>
    <w:p>
      <w:pPr>
        <w:ind w:left="0" w:firstLine="0"/>
      </w:pPr>
      <w:r>
        <w:rPr>
          <w:b w:val="0"/>
        </w:rPr>
        <w:t xml:space="preserve">5.  </w:t>
      </w:r>
      <w:r>
        <w:t>Check the exact target word(s) against formal pre/post protection and the 30 Migration Challenge words.</w:t>
      </w:r>
    </w:p>
    <w:p>
      <w:pPr>
        <w:ind w:left="0" w:firstLine="0"/>
      </w:pPr>
      <w:r>
        <w:rPr>
          <w:b w:val="0"/>
        </w:rPr>
        <w:t xml:space="preserve">6.  </w:t>
      </w:r>
      <w:r>
        <w:t>Check source rights and third-party credits at the exact page/item level.</w:t>
      </w:r>
    </w:p>
    <w:p>
      <w:pPr>
        <w:ind w:left="0" w:firstLine="0"/>
      </w:pPr>
      <w:r>
        <w:rPr>
          <w:b w:val="0"/>
        </w:rPr>
        <w:t xml:space="preserve">7.  </w:t>
      </w:r>
      <w:r>
        <w:t>Draft/adapt the passage while keeping First Volo wording/prompts separate from source facts.</w:t>
      </w:r>
    </w:p>
    <w:p>
      <w:pPr>
        <w:ind w:left="0" w:firstLine="0"/>
      </w:pPr>
      <w:r>
        <w:rPr>
          <w:b w:val="0"/>
        </w:rPr>
        <w:t xml:space="preserve">8.  </w:t>
      </w:r>
      <w:r>
        <w:t>Run readability review; use authorized Lexile only on the finalized text when available.</w:t>
      </w:r>
    </w:p>
    <w:p>
      <w:pPr>
        <w:ind w:left="0" w:firstLine="0"/>
      </w:pPr>
      <w:r>
        <w:rPr>
          <w:b w:val="0"/>
        </w:rPr>
        <w:t xml:space="preserve">9.  </w:t>
      </w:r>
      <w:r>
        <w:t>Tag surfaces and purpose; do not mark protected transfer unless the whole word is newly reserved and removed from all ordinary practice.</w:t>
      </w:r>
    </w:p>
    <w:p>
      <w:pPr>
        <w:ind w:left="0" w:firstLine="0"/>
      </w:pPr>
      <w:r>
        <w:rPr>
          <w:b w:val="0"/>
        </w:rPr>
        <w:t xml:space="preserve">10.  </w:t>
      </w:r>
      <w:r>
        <w:t>Update the coverage map so the next search is driven by remaining gaps.</w:t>
      </w:r>
    </w:p>
    <w:p>
      <w:pPr>
        <w:pStyle w:val="Heading1"/>
        <w:keepNext/>
      </w:pPr>
      <w:r>
        <w:t>23. Source pools to mine next</w:t>
      </w:r>
    </w:p>
    <w:p>
      <w:pPr>
        <w:pStyle w:val="Heading2"/>
        <w:keepNext/>
      </w:pPr>
      <w:r>
        <w:t>Current federal source pool</w:t>
      </w:r>
    </w:p>
    <w:p>
      <w:pPr>
        <w:spacing w:after="60"/>
      </w:pPr>
      <w:r>
        <w:rPr>
          <w:b/>
          <w:color w:val="17365F"/>
        </w:rPr>
        <w:t xml:space="preserve">NASA Space Place / NASA Science: </w:t>
      </w:r>
      <w:r>
        <w:t>planets, comets, telescopes, meteor showers, spacecraft, volcanoes/space science; especially useful for accessible science hooks</w:t>
      </w:r>
    </w:p>
    <w:p>
      <w:pPr>
        <w:spacing w:after="60"/>
      </w:pPr>
      <w:r>
        <w:rPr>
          <w:b/>
          <w:color w:val="17365F"/>
        </w:rPr>
        <w:t xml:space="preserve">NPS: </w:t>
      </w:r>
      <w:r>
        <w:t>animal adaptations, bats, caves, parks, survival, ecology; many educator/kids pages with useful audience tags</w:t>
      </w:r>
    </w:p>
    <w:p>
      <w:pPr>
        <w:spacing w:after="60"/>
      </w:pPr>
      <w:r>
        <w:rPr>
          <w:b/>
          <w:color w:val="17365F"/>
        </w:rPr>
        <w:t xml:space="preserve">USGS: </w:t>
      </w:r>
      <w:r>
        <w:t>earthquakes, volcanoes, landslides, tsunamis, natural hazards; useful for academic roots and science/engineering applications</w:t>
      </w:r>
    </w:p>
    <w:p>
      <w:pPr>
        <w:spacing w:after="60"/>
      </w:pPr>
      <w:r>
        <w:rPr>
          <w:b/>
          <w:color w:val="17365F"/>
        </w:rPr>
        <w:t xml:space="preserve">NOAA Ocean Exploration: </w:t>
      </w:r>
      <w:r>
        <w:t>bioluminescence, deep-sea corals, hydrothermal vents, seafloor mapping, robots, telepresence, eDNA; especially rich for Flight B/C morphology</w:t>
      </w:r>
    </w:p>
    <w:p>
      <w:pPr>
        <w:pStyle w:val="Heading2"/>
        <w:keepNext/>
      </w:pPr>
      <w:r>
        <w:t>Public-domain narrative pool</w:t>
      </w:r>
    </w:p>
    <w:p>
      <w:r>
        <w:t>Use these primarily for narrative/myth/adventure rather than as the factual backbone for modern science. Whole-book readability estimates are not passage-specific.</w:t>
      </w:r>
    </w:p>
    <w:p>
      <w:pPr>
        <w:pStyle w:val="ListBullet"/>
      </w:pPr>
      <w:r>
        <w:t>E. Nesbit, The Book of Dragons</w:t>
      </w:r>
    </w:p>
    <w:p>
      <w:pPr>
        <w:pStyle w:val="ListBullet"/>
      </w:pPr>
      <w:r>
        <w:t>Rudyard Kipling, Just So Stories</w:t>
      </w:r>
    </w:p>
    <w:p>
      <w:pPr>
        <w:pStyle w:val="ListBullet"/>
      </w:pPr>
      <w:r>
        <w:t>Myths That Every Child Should Know</w:t>
      </w:r>
    </w:p>
    <w:p>
      <w:pPr>
        <w:pStyle w:val="ListBullet"/>
      </w:pPr>
      <w:r>
        <w:t>Nathaniel Hawthorne, Tanglewood Tales / A Wonder Book</w:t>
      </w:r>
    </w:p>
    <w:p>
      <w:pPr>
        <w:pStyle w:val="ListBullet"/>
      </w:pPr>
      <w:r>
        <w:t>Asgard Stories</w:t>
      </w:r>
    </w:p>
    <w:p>
      <w:pPr>
        <w:pStyle w:val="ListBullet"/>
      </w:pPr>
      <w:r>
        <w:t>Odysseus, the Hero of Ithaca</w:t>
      </w:r>
    </w:p>
    <w:p>
      <w:pPr>
        <w:pStyle w:val="ListBullet"/>
      </w:pPr>
      <w:r>
        <w:t>The Jungle Book</w:t>
      </w:r>
    </w:p>
    <w:p>
      <w:pPr>
        <w:pStyle w:val="ListBullet"/>
      </w:pPr>
      <w:r>
        <w:t>The Wonderful Wizard of Oz</w:t>
      </w:r>
    </w:p>
    <w:p>
      <w:pPr>
        <w:pStyle w:val="ListBullet"/>
      </w:pPr>
      <w:r>
        <w:t>The Secret Garden</w:t>
      </w:r>
    </w:p>
    <w:p>
      <w:pPr>
        <w:pStyle w:val="ListBullet"/>
      </w:pPr>
      <w:r>
        <w:t>The Railway Children</w:t>
      </w:r>
    </w:p>
    <w:p>
      <w:pPr>
        <w:pStyle w:val="ListBullet"/>
      </w:pPr>
      <w:r>
        <w:t>Aesop editions in the U.S. public domain</w:t>
      </w:r>
    </w:p>
    <w:p>
      <w:pPr>
        <w:pStyle w:val="ListBullet"/>
      </w:pPr>
      <w:r>
        <w:t>Alice’s Adventures in Wonderland</w:t>
      </w:r>
    </w:p>
    <w:p>
      <w:pPr>
        <w:pStyle w:val="ListBullet"/>
      </w:pPr>
      <w:r>
        <w:t>The Tale of Peter Rabbit</w:t>
      </w:r>
    </w:p>
    <w:p>
      <w:pPr>
        <w:pStyle w:val="ListBullet"/>
      </w:pPr>
      <w:r>
        <w:t>Black Beauty</w:t>
      </w:r>
    </w:p>
    <w:p>
      <w:pPr>
        <w:pStyle w:val="ListBullet"/>
      </w:pPr>
      <w:r>
        <w:t>The Wind in the Willows</w:t>
      </w:r>
    </w:p>
    <w:p>
      <w:pPr>
        <w:pStyle w:val="Heading1"/>
        <w:keepNext/>
      </w:pPr>
      <w:r>
        <w:t>24. Build-time protection guard</w:t>
      </w:r>
    </w:p>
    <w:p>
      <w:r>
        <w:t>Protection should eventually be automated so the system does not depend on memory or manual review.</w:t>
      </w:r>
    </w:p>
    <w:p>
      <w:pPr>
        <w:pStyle w:val="Heading2"/>
        <w:keepNext/>
      </w:pPr>
      <w:r>
        <w:t>Recommended guard behavior</w:t>
      </w:r>
    </w:p>
    <w:p>
      <w:pPr>
        <w:pStyle w:val="ListBullet"/>
      </w:pPr>
      <w:r>
        <w:t>Maintain explicit protectedTargetWords metadata on every formal pre/post item, or generate a central assessment-target registry.</w:t>
      </w:r>
    </w:p>
    <w:p>
      <w:pPr>
        <w:pStyle w:val="ListBullet"/>
      </w:pPr>
      <w:r>
        <w:t>Import all 30 Migration Challenge reserved words.</w:t>
      </w:r>
    </w:p>
    <w:p>
      <w:pPr>
        <w:pStyle w:val="ListBullet"/>
      </w:pPr>
      <w:r>
        <w:t>Import the future connected-text transfer reserved-word pool.</w:t>
      </w:r>
    </w:p>
    <w:p>
      <w:pPr>
        <w:pStyle w:val="ListBullet"/>
      </w:pPr>
      <w:r>
        <w:t>Reject an ordinary instructional/application excerpt when its target whole word overlaps a protected pool.</w:t>
      </w:r>
    </w:p>
    <w:p>
      <w:pPr>
        <w:pStyle w:val="ListBullet"/>
      </w:pPr>
      <w:r>
        <w:t>Do not reject the taught morpheme merely because it appears inside a protected word elsewhere; morphemes are expected to be taught.</w:t>
      </w:r>
    </w:p>
    <w:p>
      <w:pPr>
        <w:pStyle w:val="ListBullet"/>
      </w:pPr>
      <w:r>
        <w:t>Reject a future connected-text transfer item if its reserved whole word already appears anywhere in ordinary practice, teacher examples, or extensions.</w:t>
      </w:r>
    </w:p>
    <w:p>
      <w:pPr>
        <w:pStyle w:val="ListBullet"/>
      </w:pPr>
      <w:r>
        <w:t>Add a prompt-similarity or explicit review check so ordinary practice does not copy or near-copy formal assessment prompts/distractor structures.</w:t>
      </w:r>
    </w:p>
    <w:p>
      <w:pPr>
        <w:pStyle w:val="ListBullet"/>
      </w:pPr>
      <w:r>
        <w:t>Run the guard whenever the excerpt bank, assessment forms, or Migration Challenge pool changes.</w:t>
      </w:r>
    </w:p>
    <w:p>
      <w:pPr>
        <w:pStyle w:val="CodeBlock"/>
      </w:pPr>
      <w:r>
        <w:t>for excerpt in ordinary_excerpts:</w:t>
        <w:br/>
        <w:t xml:space="preserve">    assert excerpt.target_words ∩ formal_assessment_targets == ∅</w:t>
        <w:br/>
        <w:t xml:space="preserve">    assert excerpt.target_words ∩ migration_reserved == ∅</w:t>
        <w:br/>
        <w:t xml:space="preserve">    assert excerpt.target_words ∩ connected_text_transfer_reserved == ∅</w:t>
        <w:br/>
        <w:br/>
        <w:t>for item in connected_text_transfer:</w:t>
        <w:br/>
        <w:t xml:space="preserve">    assert item.word not in ordinary_instruction_words</w:t>
        <w:br/>
        <w:t xml:space="preserve">    assert item.word not in formal_assessment_targets</w:t>
        <w:br/>
        <w:t xml:space="preserve">    assert item.word not in migration_reserved</w:t>
      </w:r>
    </w:p>
    <w:p>
      <w:pPr>
        <w:pStyle w:val="Heading1"/>
        <w:keepNext/>
      </w:pPr>
      <w:r>
        <w:t>25. Implementation sequence</w:t>
      </w:r>
    </w:p>
    <w:p>
      <w:pPr>
        <w:ind w:left="0" w:firstLine="0"/>
      </w:pPr>
      <w:r>
        <w:rPr>
          <w:b w:val="0"/>
        </w:rPr>
        <w:t xml:space="preserve">1.  </w:t>
      </w:r>
      <w:r>
        <w:t>Finish the excerpt coverage audit against the live Scope &amp; Sequence / inventory.</w:t>
      </w:r>
    </w:p>
    <w:p>
      <w:pPr>
        <w:ind w:left="0" w:firstLine="0"/>
      </w:pPr>
      <w:r>
        <w:rPr>
          <w:b w:val="0"/>
        </w:rPr>
        <w:t xml:space="preserve">2.  </w:t>
      </w:r>
      <w:r>
        <w:t>Expand deliberately until there is enough coverage to reveal the real connected-text patterns (working target: roughly 8-12 strong examples per Flight across multiple target types/topics).</w:t>
      </w:r>
    </w:p>
    <w:p>
      <w:pPr>
        <w:ind w:left="0" w:firstLine="0"/>
      </w:pPr>
      <w:r>
        <w:rPr>
          <w:b w:val="0"/>
        </w:rPr>
        <w:t xml:space="preserve">3.  </w:t>
      </w:r>
      <w:r>
        <w:t>Normalize the excerpt-bank metadata schema and protection registry.</w:t>
      </w:r>
    </w:p>
    <w:p>
      <w:pPr>
        <w:ind w:left="0" w:firstLine="0"/>
      </w:pPr>
      <w:r>
        <w:rPr>
          <w:b w:val="0"/>
        </w:rPr>
        <w:t xml:space="preserve">4.  </w:t>
      </w:r>
      <w:r>
        <w:t>Add explicit formal-assessment protectedTargetWords metadata / central registry and automate protection checks.</w:t>
      </w:r>
    </w:p>
    <w:p>
      <w:pPr>
        <w:ind w:left="0" w:firstLine="0"/>
      </w:pPr>
      <w:r>
        <w:rPr>
          <w:b w:val="0"/>
        </w:rPr>
        <w:t xml:space="preserve">5.  </w:t>
      </w:r>
      <w:r>
        <w:t>Wire the first production use: Teacher Guidance -&gt; Apply queries the shared bank by target/purpose/reading demand.</w:t>
      </w:r>
    </w:p>
    <w:p>
      <w:pPr>
        <w:ind w:left="0" w:firstLine="0"/>
      </w:pPr>
      <w:r>
        <w:rPr>
          <w:b w:val="0"/>
        </w:rPr>
        <w:t xml:space="preserve">6.  </w:t>
      </w:r>
      <w:r>
        <w:t>Observe whether the passage bank supports the guidance flow cleanly and adjust selection metadata.</w:t>
      </w:r>
    </w:p>
    <w:p>
      <w:pPr>
        <w:ind w:left="0" w:firstLine="0"/>
      </w:pPr>
      <w:r>
        <w:rPr>
          <w:b w:val="0"/>
        </w:rPr>
        <w:t xml:space="preserve">7.  </w:t>
      </w:r>
      <w:r>
        <w:t>Design the future student-facing connected-text activity based on the actual passage patterns.</w:t>
      </w:r>
    </w:p>
    <w:p>
      <w:pPr>
        <w:ind w:left="0" w:firstLine="0"/>
      </w:pPr>
      <w:r>
        <w:rPr>
          <w:b w:val="0"/>
        </w:rPr>
        <w:t xml:space="preserve">8.  </w:t>
      </w:r>
      <w:r>
        <w:t>Add richer Extension surfaces for passages flagged extensionEligible.</w:t>
      </w:r>
    </w:p>
    <w:p>
      <w:pPr>
        <w:ind w:left="0" w:firstLine="0"/>
      </w:pPr>
      <w:r>
        <w:rPr>
          <w:b w:val="0"/>
        </w:rPr>
        <w:t xml:space="preserve">9.  </w:t>
      </w:r>
      <w:r>
        <w:t>Create the separate protected connected-text transfer pool only after ordinary practice coverage is stable.</w:t>
      </w:r>
    </w:p>
    <w:p>
      <w:pPr>
        <w:ind w:left="0" w:firstLine="0"/>
      </w:pPr>
      <w:r>
        <w:rPr>
          <w:b w:val="0"/>
        </w:rPr>
        <w:t xml:space="preserve">10.  </w:t>
      </w:r>
      <w:r>
        <w:t>Run source-rights and final-text readability/Lexile checks before public/commercial publishing.</w:t>
      </w:r>
    </w:p>
    <w:p>
      <w:pPr>
        <w:pStyle w:val="Heading1"/>
        <w:keepNext/>
      </w:pPr>
      <w:r>
        <w:t>26. What not to do</w:t>
      </w:r>
    </w:p>
    <w:p>
      <w:pPr>
        <w:pStyle w:val="ListBullet"/>
      </w:pPr>
      <w:r>
        <w:t>Do not build a separate hard-coded passage list inside Teacher Guidance.</w:t>
      </w:r>
    </w:p>
    <w:p>
      <w:pPr>
        <w:pStyle w:val="ListBullet"/>
      </w:pPr>
      <w:r>
        <w:t>Do not design the main Read It/In Context UI before there is enough real excerpt coverage.</w:t>
      </w:r>
    </w:p>
    <w:p>
      <w:pPr>
        <w:pStyle w:val="ListBullet"/>
      </w:pPr>
      <w:r>
        <w:t>Do not assign a passage or target to a Flight based on Lexile, publisher grade tag, or whole-page difficulty.</w:t>
      </w:r>
    </w:p>
    <w:p>
      <w:pPr>
        <w:pStyle w:val="ListBullet"/>
      </w:pPr>
      <w:r>
        <w:t>Do not infer “base/root/combining form” from Flight alone.</w:t>
      </w:r>
    </w:p>
    <w:p>
      <w:pPr>
        <w:pStyle w:val="ListBullet"/>
      </w:pPr>
      <w:r>
        <w:t>Do not use any Migration Challenge reserved word in ordinary instruction, teacher examples, main activities, or extensions before the challenge.</w:t>
      </w:r>
    </w:p>
    <w:p>
      <w:pPr>
        <w:pStyle w:val="ListBullet"/>
      </w:pPr>
      <w:r>
        <w:t>Do not use formal pre/post scored target words/assessed pairs as routine connected-text instructional targets.</w:t>
      </w:r>
    </w:p>
    <w:p>
      <w:pPr>
        <w:pStyle w:val="ListBullet"/>
      </w:pPr>
      <w:r>
        <w:t>Do not copy assessment prompts, response frames, or distractor patterns into practice.</w:t>
      </w:r>
    </w:p>
    <w:p>
      <w:pPr>
        <w:pStyle w:val="ListBullet"/>
      </w:pPr>
      <w:r>
        <w:t>Do not treat context or pictures as a way to guess the written target word.</w:t>
      </w:r>
    </w:p>
    <w:p>
      <w:pPr>
        <w:pStyle w:val="ListBullet"/>
      </w:pPr>
      <w:r>
        <w:t>Do not assume all .gov content is public domain without checking exact credits/third-party material.</w:t>
      </w:r>
    </w:p>
    <w:p>
      <w:pPr>
        <w:pStyle w:val="ListBullet"/>
      </w:pPr>
      <w:r>
        <w:t>Do not use old public-domain science books as the primary source for factual science when current federal material is available.</w:t>
      </w:r>
    </w:p>
    <w:p>
      <w:pPr>
        <w:pStyle w:val="ListBullet"/>
      </w:pPr>
      <w:r>
        <w:t>Do not publish an unofficial educator-generated Lexile range as a certified First Volo measure.</w:t>
      </w:r>
    </w:p>
    <w:p>
      <w:pPr>
        <w:pStyle w:val="ListBullet"/>
      </w:pPr>
      <w:r>
        <w:t>Do not select passages solely for morphology density; they must also be interesting and readable enough for the intended purpose.</w:t>
      </w:r>
    </w:p>
    <w:p>
      <w:pPr>
        <w:pStyle w:val="Heading1"/>
        <w:keepNext/>
      </w:pPr>
      <w:r>
        <w:t>27. Open questions / decisions not yet locked</w:t>
      </w:r>
    </w:p>
    <w:p>
      <w:pPr>
        <w:pStyle w:val="ListBullet"/>
      </w:pPr>
      <w:r>
        <w:t>Final name of the future student-facing connected-text activity (“Read It,” “In Context,” or another label).</w:t>
      </w:r>
    </w:p>
    <w:p>
      <w:pPr>
        <w:pStyle w:val="ListBullet"/>
      </w:pPr>
      <w:r>
        <w:t>Exact position of that activity in the main path once designed.</w:t>
      </w:r>
    </w:p>
    <w:p>
      <w:pPr>
        <w:pStyle w:val="ListBullet"/>
      </w:pPr>
      <w:r>
        <w:t>Whether ordinary connected-text activity responses contribute to practice accuracy, and exactly which response(s) count.</w:t>
      </w:r>
    </w:p>
    <w:p>
      <w:pPr>
        <w:pStyle w:val="ListBullet"/>
      </w:pPr>
      <w:r>
        <w:t>How much passage-level support is available by readingDemand (audio, teacher read-aloud, glossary, etc.) without changing the morphology construct.</w:t>
      </w:r>
    </w:p>
    <w:p>
      <w:pPr>
        <w:pStyle w:val="ListBullet"/>
      </w:pPr>
      <w:r>
        <w:t>Final initial-bank size; 8-12 per Flight is a working planning target, not a locked production requirement.</w:t>
      </w:r>
    </w:p>
    <w:p>
      <w:pPr>
        <w:pStyle w:val="ListBullet"/>
      </w:pPr>
      <w:r>
        <w:t>Whether a single passage may have multiple adapted reading-demand versions while retaining one source record.</w:t>
      </w:r>
    </w:p>
    <w:p>
      <w:pPr>
        <w:pStyle w:val="ListBullet"/>
      </w:pPr>
      <w:r>
        <w:t>Final commercial/certified Lexile workflow, if public Lexile labeling is ultimately wanted.</w:t>
      </w:r>
    </w:p>
    <w:p>
      <w:pPr>
        <w:pStyle w:val="ListBullet"/>
      </w:pPr>
      <w:r>
        <w:t>Final connected-text transfer pool size and item format once ordinary application coverage is stable.</w:t>
      </w:r>
    </w:p>
    <w:p>
      <w:pPr>
        <w:pStyle w:val="Heading1"/>
        <w:keepNext/>
      </w:pPr>
      <w:r>
        <w:t>28. Current files and version status</w:t>
      </w:r>
    </w:p>
    <w:p>
      <w:pPr>
        <w:spacing w:after="60"/>
      </w:pPr>
      <w:r>
        <w:rPr>
          <w:b/>
          <w:color w:val="17365F"/>
        </w:rPr>
        <w:t xml:space="preserve">first-volo-excerpt-bank-v3-protected-expanded.json: </w:t>
      </w:r>
      <w:r>
        <w:t>Current working bank: 14 candidates; cleaned + target-driven expansion; not wired into site.</w:t>
      </w:r>
    </w:p>
    <w:p>
      <w:pPr>
        <w:spacing w:after="60"/>
      </w:pPr>
      <w:r>
        <w:rPr>
          <w:b/>
          <w:color w:val="17365F"/>
        </w:rPr>
        <w:t xml:space="preserve">first-volo-excerpt-protection-registry-v2.json: </w:t>
      </w:r>
      <w:r>
        <w:t>Current planning registry for formal pre/post verified targets, the 30 Migration Challenge words, and the future third transfer pool.</w:t>
      </w:r>
    </w:p>
    <w:p>
      <w:pPr>
        <w:spacing w:after="60"/>
      </w:pPr>
      <w:r>
        <w:rPr>
          <w:b/>
          <w:color w:val="17365F"/>
        </w:rPr>
        <w:t xml:space="preserve">first-volo-excerpt-bank-v3-audit.md: </w:t>
      </w:r>
      <w:r>
        <w:t>Readable audit summary for v3.</w:t>
      </w:r>
    </w:p>
    <w:p>
      <w:pPr>
        <w:spacing w:after="60"/>
      </w:pPr>
      <w:r>
        <w:rPr>
          <w:b/>
          <w:color w:val="17365F"/>
        </w:rPr>
        <w:t xml:space="preserve">first-volo-excerpt-bank-v1.json / .md: </w:t>
      </w:r>
      <w:r>
        <w:t>Earlier draft; superseded by v3 for planning.</w:t>
      </w:r>
    </w:p>
    <w:p>
      <w:pPr>
        <w:spacing w:after="60"/>
      </w:pPr>
      <w:r>
        <w:rPr>
          <w:b/>
          <w:color w:val="17365F"/>
        </w:rPr>
        <w:t xml:space="preserve">first-volo-excerpt-bank-v2-protected.json / v2 audit: </w:t>
      </w:r>
      <w:r>
        <w:t>Intermediate protected version; superseded by v3.</w:t>
      </w:r>
    </w:p>
    <w:p>
      <w:pPr>
        <w:keepLines/>
        <w:spacing w:before="100" w:after="160"/>
        <w:ind w:left="173" w:right="173"/>
        <w:shd w:fill="F5F9FF"/>
        <w:pBdr>
          <w:left w:val="single" w:sz="18" w:space="8" w:color="2876BB"/>
        </w:pBdr>
      </w:pPr>
      <w:r>
        <w:rPr>
          <w:b/>
          <w:color w:val="17365F"/>
        </w:rPr>
        <w:t xml:space="preserve">Local status from this thread: </w:t>
      </w:r>
      <w:r>
        <w:t>The three v3/current files were downloaded to the user’s Downloads folder. They are planning artifacts and have not been wired into the live First Volo Morphology site in this excerpt thread.</w:t>
      </w:r>
    </w:p>
    <w:p>
      <w:pPr>
        <w:pStyle w:val="Heading1"/>
        <w:keepNext/>
      </w:pPr>
      <w:r>
        <w:t>29. Handoff prompt for the next thread</w:t>
      </w:r>
    </w:p>
    <w:p>
      <w:r>
        <w:t>A new thread can begin with this instruction:</w:t>
      </w:r>
    </w:p>
    <w:p>
      <w:pPr>
        <w:pStyle w:val="CodeBlock"/>
      </w:pPr>
      <w:r>
        <w:t>Continue planning the First Volo Morphology connected-text excerpt system using the attached planning handoff as the source of truth. This thread is for excerpts/content architecture only; the dynamic instructional-guidance implementation is being built separately.</w:t>
        <w:br/>
        <w:br/>
        <w:t>Start with the current v3 bank and the live First Volo Curriculum Map / Scope &amp; Sequence + word inventory. Build a coverage audit by target. Preserve the formal pre/post and Migration Challenge protected pools. Expand target-by-target using interesting current federal nonfiction first and curated public-domain narrative when useful. Keep Practice Flight separate from passage reading demand. Use exact item-specific terminology (base/root/Greek combining form/prefix/suffix).</w:t>
        <w:br/>
        <w:br/>
        <w:t>Do not design the final main connected-text activity yet. First grow the bank enough to reveal the real content patterns. The first intended production consumer is Teacher Guidance -&gt; Apply; later the same shared bank may feed a student-facing Read It/In Context activity and Extend the Learning. Protected connected-text transfer must be a separate third reserved pool.</w:t>
      </w:r>
    </w:p>
    <w:p>
      <w:pPr>
        <w:pStyle w:val="Heading1"/>
        <w:keepNext/>
      </w:pPr>
      <w:r>
        <w:t>Appendix A. Full current candidate excerpts</w:t>
      </w:r>
    </w:p>
    <w:p>
      <w:r>
        <w:t>These are the current First Volo-adapted draft passages stored in v3. They are candidate text, not yet final production text.</w:t>
      </w:r>
    </w:p>
    <w:p>
      <w:pPr>
        <w:pStyle w:val="Heading2"/>
        <w:keepNext/>
      </w:pPr>
      <w:r>
        <w:t>A-comet-01 · Flight A · A Comet Wakes Up</w:t>
      </w:r>
    </w:p>
    <w:p>
      <w:pPr>
        <w:spacing w:after="60"/>
      </w:pPr>
      <w:r>
        <w:rPr>
          <w:b/>
          <w:color w:val="17365F"/>
        </w:rPr>
        <w:t xml:space="preserve">Topic: </w:t>
      </w:r>
      <w:r>
        <w:t>Space / comets</w:t>
      </w:r>
    </w:p>
    <w:p>
      <w:pPr>
        <w:spacing w:after="60"/>
      </w:pPr>
      <w:r>
        <w:rPr>
          <w:b/>
          <w:color w:val="17365F"/>
        </w:rPr>
        <w:t xml:space="preserve">Target morphology: </w:t>
      </w:r>
      <w:r>
        <w:t>re- (prefix) -&gt; redirects; -ing (suffix) -&gt; heating, forming; -s (suffix) -&gt; moves, changes, streams</w:t>
      </w:r>
    </w:p>
    <w:p>
      <w:pPr>
        <w:spacing w:after="60"/>
      </w:pPr>
      <w:r>
        <w:rPr>
          <w:b/>
          <w:color w:val="17365F"/>
        </w:rPr>
        <w:t xml:space="preserve">Purpose: </w:t>
      </w:r>
      <w:r>
        <w:t>instructional, application</w:t>
      </w:r>
    </w:p>
    <w:p>
      <w:pPr>
        <w:spacing w:after="60"/>
      </w:pPr>
      <w:r>
        <w:rPr>
          <w:b/>
          <w:color w:val="17365F"/>
        </w:rPr>
        <w:t xml:space="preserve">Interest hook: </w:t>
      </w:r>
      <w:r>
        <w:t>What happens when a frozen space object gets too close to the Sun?</w:t>
      </w:r>
    </w:p>
    <w:p>
      <w:pPr>
        <w:spacing w:after="60"/>
      </w:pPr>
      <w:r>
        <w:rPr>
          <w:b/>
          <w:color w:val="17365F"/>
        </w:rPr>
        <w:t xml:space="preserve">Source: </w:t>
      </w:r>
      <w:r>
        <w:t>NASA Space Place — What Is a Comet?</w:t>
      </w:r>
    </w:p>
    <w:p>
      <w:r>
        <w:rPr>
          <w:b/>
        </w:rPr>
        <w:t xml:space="preserve">Source URL: </w:t>
      </w:r>
      <w:hyperlink r:id="rId10">
        <w:r>
          <w:rPr>
            <w:color w:val="2876BB"/>
            <w:u w:val="single"/>
          </w:rPr>
          <w:t>https://spaceplace.nasa.gov/comets/en/</w:t>
        </w:r>
      </w:hyperlink>
    </w:p>
    <w:p>
      <w:pPr>
        <w:spacing w:after="60"/>
      </w:pPr>
      <w:r>
        <w:rPr>
          <w:b/>
          <w:color w:val="17365F"/>
        </w:rPr>
        <w:t xml:space="preserve">Source audience: </w:t>
      </w:r>
      <w:r>
        <w:t>NASA Science for Kids</w:t>
      </w:r>
    </w:p>
    <w:p>
      <w:pPr>
        <w:spacing w:after="60"/>
      </w:pPr>
      <w:r>
        <w:rPr>
          <w:b/>
          <w:color w:val="17365F"/>
        </w:rPr>
        <w:t xml:space="preserve">Rights note: </w:t>
      </w:r>
      <w:r>
        <w:t>NASA-authored content generally reusable for educational/informational use; verify any individual third-party image separately and credit NASA.</w:t>
      </w:r>
    </w:p>
    <w:p>
      <w:r>
        <w:rPr>
          <w:b/>
          <w:color w:val="17365F"/>
        </w:rPr>
        <w:t>Draft excerpt</w:t>
      </w:r>
    </w:p>
    <w:p>
      <w:pPr>
        <w:ind w:left="259" w:right="259"/>
        <w:shd w:fill="F5F6F7"/>
        <w:pBdr>
          <w:left w:val="single" w:sz="18" w:space="8" w:color="DCE5EF"/>
        </w:pBdr>
      </w:pPr>
      <w:r>
        <w:t>Comets are icy objects that travel around the Sun. Far away, a comet stays frozen. Sometimes the pull of a planet or star redirects a comet toward the Sun. As it moves closer, the comet begins heating up. Ice changes into gas, and dust streams away. This can form a bright tail. Scientists study comets because they contain old material left from the time when our solar system was forming.</w:t>
      </w:r>
    </w:p>
    <w:p>
      <w:pPr>
        <w:spacing w:after="60"/>
      </w:pPr>
      <w:r>
        <w:rPr>
          <w:b/>
          <w:color w:val="17365F"/>
        </w:rPr>
        <w:t xml:space="preserve">Internal readability screen: </w:t>
      </w:r>
      <w:r>
        <w:t>70 words; rough FK proxy 5.8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A-yellowstone-01 · Flight A · Built for a Yellowstone Winter</w:t>
      </w:r>
    </w:p>
    <w:p>
      <w:pPr>
        <w:spacing w:after="60"/>
      </w:pPr>
      <w:r>
        <w:rPr>
          <w:b/>
          <w:color w:val="17365F"/>
        </w:rPr>
        <w:t xml:space="preserve">Topic: </w:t>
      </w:r>
      <w:r>
        <w:t>Animals / survival</w:t>
      </w:r>
    </w:p>
    <w:p>
      <w:pPr>
        <w:spacing w:after="60"/>
      </w:pPr>
      <w:r>
        <w:rPr>
          <w:b/>
          <w:color w:val="17365F"/>
        </w:rPr>
        <w:t xml:space="preserve">Target morphology: </w:t>
      </w:r>
      <w:r>
        <w:t>over- (prefix) -&gt; oversized; under- (prefix) -&gt; underwater; -ing (suffix) -&gt; hibernating</w:t>
      </w:r>
    </w:p>
    <w:p>
      <w:pPr>
        <w:spacing w:after="60"/>
      </w:pPr>
      <w:r>
        <w:rPr>
          <w:b/>
          <w:color w:val="17365F"/>
        </w:rPr>
        <w:t xml:space="preserve">Purpose: </w:t>
      </w:r>
      <w:r>
        <w:t>instructional, application</w:t>
      </w:r>
    </w:p>
    <w:p>
      <w:pPr>
        <w:spacing w:after="60"/>
      </w:pPr>
      <w:r>
        <w:rPr>
          <w:b/>
          <w:color w:val="17365F"/>
        </w:rPr>
        <w:t xml:space="preserve">Interest hook: </w:t>
      </w:r>
      <w:r>
        <w:t>Could you out-jump, out-walk, or outlast a Yellowstone animal?</w:t>
      </w:r>
    </w:p>
    <w:p>
      <w:pPr>
        <w:spacing w:after="60"/>
      </w:pPr>
      <w:r>
        <w:rPr>
          <w:b/>
          <w:color w:val="17365F"/>
        </w:rPr>
        <w:t xml:space="preserve">Source: </w:t>
      </w:r>
      <w:r>
        <w:t>National Park Service — Get Wild: Yellowstone Survivor</w:t>
      </w:r>
    </w:p>
    <w:p>
      <w:r>
        <w:rPr>
          <w:b/>
        </w:rPr>
        <w:t xml:space="preserve">Source URL: </w:t>
      </w:r>
      <w:hyperlink r:id="rId11">
        <w:r>
          <w:rPr>
            <w:color w:val="2876BB"/>
            <w:u w:val="single"/>
          </w:rPr>
          <w:t>https://www.nps.gov/yell/learn/kidsyouth/get-wild-yellowstone-survivor.htm</w:t>
        </w:r>
      </w:hyperlink>
    </w:p>
    <w:p>
      <w:pPr>
        <w:spacing w:after="60"/>
      </w:pPr>
      <w:r>
        <w:rPr>
          <w:b/>
          <w:color w:val="17365F"/>
        </w:rPr>
        <w:t xml:space="preserve">Source audience: </w:t>
      </w:r>
      <w:r>
        <w:t>NPS kids/youth page</w:t>
      </w:r>
    </w:p>
    <w:p>
      <w:pPr>
        <w:spacing w:after="60"/>
      </w:pPr>
      <w:r>
        <w:rPr>
          <w:b/>
          <w:color w:val="17365F"/>
        </w:rPr>
        <w:t xml:space="preserve">Rights note: </w:t>
      </w:r>
      <w:r>
        <w:t>NPS-created text is generally U.S. public domain unless otherwise indicated; avoid NPS protected marks and verify third-party media separately.</w:t>
      </w:r>
    </w:p>
    <w:p>
      <w:r>
        <w:rPr>
          <w:b/>
          <w:color w:val="17365F"/>
        </w:rPr>
        <w:t>Draft excerpt</w:t>
      </w:r>
    </w:p>
    <w:p>
      <w:pPr>
        <w:ind w:left="259" w:right="259"/>
        <w:shd w:fill="F5F6F7"/>
        <w:pBdr>
          <w:left w:val="single" w:sz="18" w:space="8" w:color="DCE5EF"/>
        </w:pBdr>
      </w:pPr>
      <w:r>
        <w:t>Wild animals in Yellowstone have amazing ways to survive winter. Wolves have oversized paws that help them move across deep snow. Beavers can stay underwater for many minutes. Elk move to lower places when heavy snow arrives. Ground squirrels spend much of the year hibernating. Some animals even change color in winter. Each of these traits helps an animal handle cold, snow, or a shortage of food.</w:t>
      </w:r>
    </w:p>
    <w:p>
      <w:pPr>
        <w:spacing w:after="60"/>
      </w:pPr>
      <w:r>
        <w:rPr>
          <w:b/>
          <w:color w:val="17365F"/>
        </w:rPr>
        <w:t xml:space="preserve">Internal readability screen: </w:t>
      </w:r>
      <w:r>
        <w:t>67 words; rough FK proxy 6.6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A-desert-01 · Flight A · How to Survive a Desert</w:t>
      </w:r>
    </w:p>
    <w:p>
      <w:pPr>
        <w:spacing w:after="60"/>
      </w:pPr>
      <w:r>
        <w:rPr>
          <w:b/>
          <w:color w:val="17365F"/>
        </w:rPr>
        <w:t xml:space="preserve">Topic: </w:t>
      </w:r>
      <w:r>
        <w:t>Animals and plants / desert</w:t>
      </w:r>
    </w:p>
    <w:p>
      <w:pPr>
        <w:spacing w:after="60"/>
      </w:pPr>
      <w:r>
        <w:rPr>
          <w:b/>
          <w:color w:val="17365F"/>
        </w:rPr>
        <w:t xml:space="preserve">Target morphology: </w:t>
      </w:r>
      <w:r>
        <w:t>under- (prefix) -&gt; underground; -ing (suffix) -&gt; living; -s (suffix) -&gt; plants, animals, stems, surfaces</w:t>
      </w:r>
    </w:p>
    <w:p>
      <w:pPr>
        <w:spacing w:after="60"/>
      </w:pPr>
      <w:r>
        <w:rPr>
          <w:b/>
          <w:color w:val="17365F"/>
        </w:rPr>
        <w:t xml:space="preserve">Purpose: </w:t>
      </w:r>
      <w:r>
        <w:t>instructional, application</w:t>
      </w:r>
    </w:p>
    <w:p>
      <w:pPr>
        <w:spacing w:after="60"/>
      </w:pPr>
      <w:r>
        <w:rPr>
          <w:b/>
          <w:color w:val="17365F"/>
        </w:rPr>
        <w:t xml:space="preserve">Interest hook: </w:t>
      </w:r>
      <w:r>
        <w:t>What would your body need if you had to live where shade and water are scarce?</w:t>
      </w:r>
    </w:p>
    <w:p>
      <w:pPr>
        <w:spacing w:after="60"/>
      </w:pPr>
      <w:r>
        <w:rPr>
          <w:b/>
          <w:color w:val="17365F"/>
        </w:rPr>
        <w:t xml:space="preserve">Source: </w:t>
      </w:r>
      <w:r>
        <w:t>National Park Service — Desert Adaptations</w:t>
      </w:r>
    </w:p>
    <w:p>
      <w:r>
        <w:rPr>
          <w:b/>
        </w:rPr>
        <w:t xml:space="preserve">Source URL: </w:t>
      </w:r>
      <w:hyperlink r:id="rId12">
        <w:r>
          <w:rPr>
            <w:color w:val="2876BB"/>
            <w:u w:val="single"/>
          </w:rPr>
          <w:t>https://www.nps.gov/teachers/classrooms/desert-adaptations.htm</w:t>
        </w:r>
      </w:hyperlink>
    </w:p>
    <w:p>
      <w:pPr>
        <w:spacing w:after="60"/>
      </w:pPr>
      <w:r>
        <w:rPr>
          <w:b/>
          <w:color w:val="17365F"/>
        </w:rPr>
        <w:t xml:space="preserve">Source audience: </w:t>
      </w:r>
      <w:r>
        <w:t>NPS lesson tagged Pre-K through Grade 2</w:t>
      </w:r>
    </w:p>
    <w:p>
      <w:pPr>
        <w:spacing w:after="60"/>
      </w:pPr>
      <w:r>
        <w:rPr>
          <w:b/>
          <w:color w:val="17365F"/>
        </w:rPr>
        <w:t xml:space="preserve">Rights note: </w:t>
      </w:r>
      <w:r>
        <w:t>NPS-created text is generally U.S. public domain unless otherwise indicated; verify any outside materials separately.</w:t>
      </w:r>
    </w:p>
    <w:p>
      <w:r>
        <w:rPr>
          <w:b/>
          <w:color w:val="17365F"/>
        </w:rPr>
        <w:t>Draft excerpt</w:t>
      </w:r>
    </w:p>
    <w:p>
      <w:pPr>
        <w:ind w:left="259" w:right="259"/>
        <w:shd w:fill="F5F6F7"/>
        <w:pBdr>
          <w:left w:val="single" w:sz="18" w:space="8" w:color="DCE5EF"/>
        </w:pBdr>
      </w:pPr>
      <w:r>
        <w:t>The desert can be very hot and dry. A desert tortoise can hide underground when the surface becomes too warm. Some plants store water in thick stems. Others have waxy surfaces that slow water loss. Many desert animals rest during the day and become active after sunset. These features help living things survive when water is hard to find and daytime heat is extreme.</w:t>
      </w:r>
    </w:p>
    <w:p>
      <w:pPr>
        <w:spacing w:after="60"/>
      </w:pPr>
      <w:r>
        <w:rPr>
          <w:b/>
          <w:color w:val="17365F"/>
        </w:rPr>
        <w:t xml:space="preserve">Internal readability screen: </w:t>
      </w:r>
      <w:r>
        <w:t>64 words; rough FK proxy 6.1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A-earthquake-01 · Flight A · Earthquake Waves Race</w:t>
      </w:r>
    </w:p>
    <w:p>
      <w:pPr>
        <w:spacing w:after="60"/>
      </w:pPr>
      <w:r>
        <w:rPr>
          <w:b/>
          <w:color w:val="17365F"/>
        </w:rPr>
        <w:t xml:space="preserve">Topic: </w:t>
      </w:r>
      <w:r>
        <w:t>Earth science / earthquakes</w:t>
      </w:r>
    </w:p>
    <w:p>
      <w:pPr>
        <w:spacing w:after="60"/>
      </w:pPr>
      <w:r>
        <w:rPr>
          <w:b/>
          <w:color w:val="17365F"/>
        </w:rPr>
        <w:t xml:space="preserve">Target morphology: </w:t>
      </w:r>
      <w:r>
        <w:t>-ed (suffix) -&gt; recorded; -ing (suffix) -&gt; moving, shaking; -s (suffix) -&gt; waves, scientists</w:t>
      </w:r>
    </w:p>
    <w:p>
      <w:pPr>
        <w:spacing w:after="60"/>
      </w:pPr>
      <w:r>
        <w:rPr>
          <w:b/>
          <w:color w:val="17365F"/>
        </w:rPr>
        <w:t xml:space="preserve">Purpose: </w:t>
      </w:r>
      <w:r>
        <w:t>instructional, application</w:t>
      </w:r>
    </w:p>
    <w:p>
      <w:pPr>
        <w:spacing w:after="60"/>
      </w:pPr>
      <w:r>
        <w:rPr>
          <w:b/>
          <w:color w:val="17365F"/>
        </w:rPr>
        <w:t xml:space="preserve">Interest hook: </w:t>
      </w:r>
      <w:r>
        <w:t>Which earthquake wave wins the race through Earth?</w:t>
      </w:r>
    </w:p>
    <w:p>
      <w:pPr>
        <w:spacing w:after="60"/>
      </w:pPr>
      <w:r>
        <w:rPr>
          <w:b/>
          <w:color w:val="17365F"/>
        </w:rPr>
        <w:t xml:space="preserve">Source: </w:t>
      </w:r>
      <w:r>
        <w:t>U.S. Geological Survey — Cool Earthquake Facts / The Science of Earthquakes</w:t>
      </w:r>
    </w:p>
    <w:p>
      <w:r>
        <w:rPr>
          <w:b/>
        </w:rPr>
        <w:t xml:space="preserve">Source URL: </w:t>
      </w:r>
      <w:hyperlink r:id="rId13">
        <w:r>
          <w:rPr>
            <w:color w:val="2876BB"/>
            <w:u w:val="single"/>
          </w:rPr>
          <w:t>https://www.usgs.gov/programs/earthquake-hazards/cool-earthquake-facts</w:t>
        </w:r>
      </w:hyperlink>
    </w:p>
    <w:p>
      <w:pPr>
        <w:spacing w:after="60"/>
      </w:pPr>
      <w:r>
        <w:rPr>
          <w:b/>
          <w:color w:val="17365F"/>
        </w:rPr>
        <w:t xml:space="preserve">Source audience: </w:t>
      </w:r>
      <w:r>
        <w:t>USGS Earthquakes for Kids collection</w:t>
      </w:r>
    </w:p>
    <w:p>
      <w:pPr>
        <w:spacing w:after="60"/>
      </w:pPr>
      <w:r>
        <w:rPr>
          <w:b/>
          <w:color w:val="17365F"/>
        </w:rPr>
        <w:t xml:space="preserve">Rights note: </w:t>
      </w:r>
      <w:r>
        <w:t>USGS-authored information is U.S. public domain; credit USGS and verify any separately credited media.</w:t>
      </w:r>
    </w:p>
    <w:p>
      <w:r>
        <w:rPr>
          <w:b/>
          <w:color w:val="17365F"/>
        </w:rPr>
        <w:t>Draft excerpt</w:t>
      </w:r>
    </w:p>
    <w:p>
      <w:pPr>
        <w:ind w:left="259" w:right="259"/>
        <w:shd w:fill="F5F6F7"/>
        <w:pBdr>
          <w:left w:val="single" w:sz="18" w:space="8" w:color="DCE5EF"/>
        </w:pBdr>
      </w:pPr>
      <w:r>
        <w:t>An earthquake sends waves through the ground. Some waves move faster than others, so they do not all arrive at the same time. Scientists use instruments to record the shaking. The pattern that is recorded can help them learn where an earthquake happened and how large it was. Earthquake waves can travel very far, even when people do not feel every movement.</w:t>
      </w:r>
    </w:p>
    <w:p>
      <w:pPr>
        <w:spacing w:after="60"/>
      </w:pPr>
      <w:r>
        <w:rPr>
          <w:b/>
          <w:color w:val="17365F"/>
        </w:rPr>
        <w:t xml:space="preserve">Internal readability screen: </w:t>
      </w:r>
      <w:r>
        <w:t>62 words; rough FK proxy 6.2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B-tele-01 · Flight B · Scientists Join a Dive from Far Away</w:t>
      </w:r>
    </w:p>
    <w:p>
      <w:pPr>
        <w:spacing w:after="60"/>
      </w:pPr>
      <w:r>
        <w:rPr>
          <w:b/>
          <w:color w:val="17365F"/>
        </w:rPr>
        <w:t xml:space="preserve">Topic: </w:t>
      </w:r>
      <w:r>
        <w:t>Ocean exploration / technology</w:t>
      </w:r>
    </w:p>
    <w:p>
      <w:pPr>
        <w:spacing w:after="60"/>
      </w:pPr>
      <w:r>
        <w:rPr>
          <w:b/>
          <w:color w:val="17365F"/>
        </w:rPr>
        <w:t xml:space="preserve">Target morphology: </w:t>
      </w:r>
      <w:r>
        <w:t>tele (Greek combining form) -&gt; telepresence; -ion (suffix) -&gt; location, expedition</w:t>
      </w:r>
    </w:p>
    <w:p>
      <w:pPr>
        <w:spacing w:after="60"/>
      </w:pPr>
      <w:r>
        <w:rPr>
          <w:b/>
          <w:color w:val="17365F"/>
        </w:rPr>
        <w:t xml:space="preserve">Purpose: </w:t>
      </w:r>
      <w:r>
        <w:t>application</w:t>
      </w:r>
    </w:p>
    <w:p>
      <w:pPr>
        <w:spacing w:after="60"/>
      </w:pPr>
      <w:r>
        <w:rPr>
          <w:b/>
          <w:color w:val="17365F"/>
        </w:rPr>
        <w:t xml:space="preserve">Interest hook: </w:t>
      </w:r>
      <w:r>
        <w:t>Could you help explore the deep ocean without ever boarding the ship?</w:t>
      </w:r>
    </w:p>
    <w:p>
      <w:pPr>
        <w:spacing w:after="60"/>
      </w:pPr>
      <w:r>
        <w:rPr>
          <w:b/>
          <w:color w:val="17365F"/>
        </w:rPr>
        <w:t xml:space="preserve">Source: </w:t>
      </w:r>
      <w:r>
        <w:t>NOAA Ocean Exploration — Telepresence Technology</w:t>
      </w:r>
    </w:p>
    <w:p>
      <w:r>
        <w:rPr>
          <w:b/>
        </w:rPr>
        <w:t xml:space="preserve">Source URL: </w:t>
      </w:r>
      <w:hyperlink r:id="rId14">
        <w:r>
          <w:rPr>
            <w:color w:val="2876BB"/>
            <w:u w:val="single"/>
          </w:rPr>
          <w:t>https://oceanexplorer.noaa.gov/technology/telepresence/</w:t>
        </w:r>
      </w:hyperlink>
    </w:p>
    <w:p>
      <w:pPr>
        <w:spacing w:after="60"/>
      </w:pPr>
      <w:r>
        <w:rPr>
          <w:b/>
          <w:color w:val="17365F"/>
        </w:rPr>
        <w:t xml:space="preserve">Source audience: </w:t>
      </w:r>
      <w:r>
        <w:t>General/education ocean exploration</w:t>
      </w:r>
    </w:p>
    <w:p>
      <w:pPr>
        <w:spacing w:after="60"/>
      </w:pPr>
      <w:r>
        <w:rPr>
          <w:b/>
          <w:color w:val="17365F"/>
        </w:rPr>
        <w:t xml:space="preserve">Rights note: </w:t>
      </w:r>
      <w:r>
        <w:t>NOAA Ocean Exploration states that site information is public domain unless otherwise noted; credit the contributing author/affiliation or NOAA Ocean Exploration.</w:t>
      </w:r>
    </w:p>
    <w:p>
      <w:pPr>
        <w:keepLines/>
        <w:spacing w:before="100" w:after="160"/>
        <w:ind w:left="173" w:right="173"/>
        <w:shd w:fill="FFF8E8"/>
        <w:pBdr>
          <w:left w:val="single" w:sz="18" w:space="8" w:color="C99B2E"/>
        </w:pBdr>
      </w:pPr>
      <w:r>
        <w:rPr>
          <w:b/>
          <w:color w:val="17365F"/>
        </w:rPr>
        <w:t xml:space="preserve">Instructional caution: </w:t>
      </w:r>
      <w:r>
        <w:t>Use tele as a known combining-form clue plus context; the remainder of telepresence is not treated as a fully taught word-part build.</w:t>
      </w:r>
    </w:p>
    <w:p>
      <w:r>
        <w:rPr>
          <w:b/>
          <w:color w:val="17365F"/>
        </w:rPr>
        <w:t>Draft excerpt</w:t>
      </w:r>
    </w:p>
    <w:p>
      <w:pPr>
        <w:ind w:left="259" w:right="259"/>
        <w:shd w:fill="F5F6F7"/>
        <w:pBdr>
          <w:left w:val="single" w:sz="18" w:space="8" w:color="DCE5EF"/>
        </w:pBdr>
      </w:pPr>
      <w:r>
        <w:t>Ocean explorers do not all have to be on the same ship. NOAA uses telepresence technology to connect people who are far apart. Video and data travel from a research ship to scientists on shore. Those scientists can watch an underwater dive, discuss what they see, and help the shipboard team make decisions in real time. Telepresence lets experts take part in an expedition even when they are hundreds or thousands of miles from the vessel.</w:t>
      </w:r>
    </w:p>
    <w:p>
      <w:pPr>
        <w:spacing w:after="60"/>
      </w:pPr>
      <w:r>
        <w:rPr>
          <w:b/>
          <w:color w:val="17365F"/>
        </w:rPr>
        <w:t xml:space="preserve">Internal readability screen: </w:t>
      </w:r>
      <w:r>
        <w:t>76 words; rough FK proxy 8.0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B-struct-01 · Flight B · Why a Beaver Is Built That Way</w:t>
      </w:r>
    </w:p>
    <w:p>
      <w:pPr>
        <w:spacing w:after="60"/>
      </w:pPr>
      <w:r>
        <w:rPr>
          <w:b/>
          <w:color w:val="17365F"/>
        </w:rPr>
        <w:t xml:space="preserve">Topic: </w:t>
      </w:r>
      <w:r>
        <w:t>Animals / structure and function</w:t>
      </w:r>
    </w:p>
    <w:p>
      <w:pPr>
        <w:spacing w:after="60"/>
      </w:pPr>
      <w:r>
        <w:rPr>
          <w:b/>
          <w:color w:val="17365F"/>
        </w:rPr>
        <w:t xml:space="preserve">Target morphology: </w:t>
      </w:r>
      <w:r>
        <w:t>struct (root) -&gt; structure, structures; -s (suffix) -&gt; structures, feet, teeth, sounds</w:t>
      </w:r>
    </w:p>
    <w:p>
      <w:pPr>
        <w:spacing w:after="60"/>
      </w:pPr>
      <w:r>
        <w:rPr>
          <w:b/>
          <w:color w:val="17365F"/>
        </w:rPr>
        <w:t xml:space="preserve">Purpose: </w:t>
      </w:r>
      <w:r>
        <w:t>instructional, application</w:t>
      </w:r>
    </w:p>
    <w:p>
      <w:pPr>
        <w:spacing w:after="60"/>
      </w:pPr>
      <w:r>
        <w:rPr>
          <w:b/>
          <w:color w:val="17365F"/>
        </w:rPr>
        <w:t xml:space="preserve">Interest hook: </w:t>
      </w:r>
      <w:r>
        <w:t>Why does a beaver need webbed feet, giant teeth, and a paddle-shaped tail?</w:t>
      </w:r>
    </w:p>
    <w:p>
      <w:pPr>
        <w:spacing w:after="60"/>
      </w:pPr>
      <w:r>
        <w:rPr>
          <w:b/>
          <w:color w:val="17365F"/>
        </w:rPr>
        <w:t xml:space="preserve">Source: </w:t>
      </w:r>
      <w:r>
        <w:t>National Park Service — Animal Adaptations</w:t>
      </w:r>
    </w:p>
    <w:p>
      <w:r>
        <w:rPr>
          <w:b/>
        </w:rPr>
        <w:t xml:space="preserve">Source URL: </w:t>
      </w:r>
      <w:hyperlink r:id="rId15">
        <w:r>
          <w:rPr>
            <w:color w:val="2876BB"/>
            <w:u w:val="single"/>
          </w:rPr>
          <w:t>https://www.nps.gov/teachers/classrooms/animal-adaptations.htm</w:t>
        </w:r>
      </w:hyperlink>
    </w:p>
    <w:p>
      <w:pPr>
        <w:spacing w:after="60"/>
      </w:pPr>
      <w:r>
        <w:rPr>
          <w:b/>
          <w:color w:val="17365F"/>
        </w:rPr>
        <w:t xml:space="preserve">Source audience: </w:t>
      </w:r>
      <w:r>
        <w:t>NPS lesson tagged Grades 3-5</w:t>
      </w:r>
    </w:p>
    <w:p>
      <w:pPr>
        <w:spacing w:after="60"/>
      </w:pPr>
      <w:r>
        <w:rPr>
          <w:b/>
          <w:color w:val="17365F"/>
        </w:rPr>
        <w:t xml:space="preserve">Rights note: </w:t>
      </w:r>
      <w:r>
        <w:t>NPS-created text is generally U.S. public domain unless otherwise indicated; verify any cited outside teaching materials separately.</w:t>
      </w:r>
    </w:p>
    <w:p>
      <w:r>
        <w:rPr>
          <w:b/>
          <w:color w:val="17365F"/>
        </w:rPr>
        <w:t>Draft excerpt</w:t>
      </w:r>
    </w:p>
    <w:p>
      <w:pPr>
        <w:ind w:left="259" w:right="259"/>
        <w:shd w:fill="F5F6F7"/>
        <w:pBdr>
          <w:left w:val="single" w:sz="18" w:space="8" w:color="DCE5EF"/>
        </w:pBdr>
      </w:pPr>
      <w:r>
        <w:t>A beaver's body has structures that help it survive. Webbed feet help it swim, strong teeth cut wood, and a broad tail can help with steering and balance. Other animals have different structures for different jobs. A bird's beak may help it gather food, while a deer's large ears help it detect sounds. Scientists compare these structures to understand how an animal's body is built for the environment where it lives.</w:t>
      </w:r>
    </w:p>
    <w:p>
      <w:pPr>
        <w:spacing w:after="60"/>
      </w:pPr>
      <w:r>
        <w:rPr>
          <w:b/>
          <w:color w:val="17365F"/>
        </w:rPr>
        <w:t xml:space="preserve">Internal readability screen: </w:t>
      </w:r>
      <w:r>
        <w:t>71 words; rough FK proxy 7.2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B-bio-01 · Flight B · Living Light in the Deep</w:t>
      </w:r>
    </w:p>
    <w:p>
      <w:pPr>
        <w:spacing w:after="60"/>
      </w:pPr>
      <w:r>
        <w:rPr>
          <w:b/>
          <w:color w:val="17365F"/>
        </w:rPr>
        <w:t xml:space="preserve">Topic: </w:t>
      </w:r>
      <w:r>
        <w:t>Ocean life / bioluminescence</w:t>
      </w:r>
    </w:p>
    <w:p>
      <w:pPr>
        <w:spacing w:after="60"/>
      </w:pPr>
      <w:r>
        <w:rPr>
          <w:b/>
          <w:color w:val="17365F"/>
        </w:rPr>
        <w:t xml:space="preserve">Target morphology: </w:t>
      </w:r>
      <w:r>
        <w:t>bio (Greek combining form) -&gt; bioluminescence, bioluminescent</w:t>
      </w:r>
    </w:p>
    <w:p>
      <w:pPr>
        <w:spacing w:after="60"/>
      </w:pPr>
      <w:r>
        <w:rPr>
          <w:b/>
          <w:color w:val="17365F"/>
        </w:rPr>
        <w:t xml:space="preserve">Purpose: </w:t>
      </w:r>
      <w:r>
        <w:t>application</w:t>
      </w:r>
    </w:p>
    <w:p>
      <w:pPr>
        <w:spacing w:after="60"/>
      </w:pPr>
      <w:r>
        <w:rPr>
          <w:b/>
          <w:color w:val="17365F"/>
        </w:rPr>
        <w:t xml:space="preserve">Interest hook: </w:t>
      </w:r>
      <w:r>
        <w:t>Why would an animal living in total darkness make its own light?</w:t>
      </w:r>
    </w:p>
    <w:p>
      <w:pPr>
        <w:spacing w:after="60"/>
      </w:pPr>
      <w:r>
        <w:rPr>
          <w:b/>
          <w:color w:val="17365F"/>
        </w:rPr>
        <w:t xml:space="preserve">Source: </w:t>
      </w:r>
      <w:r>
        <w:t>NOAA Ocean Exploration — Bioluminescence</w:t>
      </w:r>
    </w:p>
    <w:p>
      <w:r>
        <w:rPr>
          <w:b/>
        </w:rPr>
        <w:t xml:space="preserve">Source URL: </w:t>
      </w:r>
      <w:hyperlink r:id="rId16">
        <w:r>
          <w:rPr>
            <w:color w:val="2876BB"/>
            <w:u w:val="single"/>
          </w:rPr>
          <w:t>https://oceanexplorer.noaa.gov/education/bioluminescence/</w:t>
        </w:r>
      </w:hyperlink>
    </w:p>
    <w:p>
      <w:pPr>
        <w:spacing w:after="60"/>
      </w:pPr>
      <w:r>
        <w:rPr>
          <w:b/>
          <w:color w:val="17365F"/>
        </w:rPr>
        <w:t xml:space="preserve">Source audience: </w:t>
      </w:r>
      <w:r>
        <w:t>NOAA educator resources; related investigation is tagged Grades 6-8</w:t>
      </w:r>
    </w:p>
    <w:p>
      <w:pPr>
        <w:spacing w:after="60"/>
      </w:pPr>
      <w:r>
        <w:rPr>
          <w:b/>
          <w:color w:val="17365F"/>
        </w:rPr>
        <w:t xml:space="preserve">Rights note: </w:t>
      </w:r>
      <w:r>
        <w:t>NOAA Ocean Exploration states that site information is public domain unless otherwise noted; credit the contributing author/affiliation or NOAA Ocean Exploration.</w:t>
      </w:r>
    </w:p>
    <w:p>
      <w:pPr>
        <w:keepLines/>
        <w:spacing w:before="100" w:after="160"/>
        <w:ind w:left="173" w:right="173"/>
        <w:shd w:fill="FFF8E8"/>
        <w:pBdr>
          <w:left w:val="single" w:sz="18" w:space="8" w:color="C99B2E"/>
        </w:pBdr>
      </w:pPr>
      <w:r>
        <w:rPr>
          <w:b/>
          <w:color w:val="17365F"/>
        </w:rPr>
        <w:t xml:space="preserve">Instructional caution: </w:t>
      </w:r>
      <w:r>
        <w:t>Use bio as a recognizable clue and use context to build meaning. Do not present bioluminescence as fully derivable from bio alone.</w:t>
      </w:r>
    </w:p>
    <w:p>
      <w:r>
        <w:rPr>
          <w:b/>
          <w:color w:val="17365F"/>
        </w:rPr>
        <w:t>Draft excerpt</w:t>
      </w:r>
    </w:p>
    <w:p>
      <w:pPr>
        <w:ind w:left="259" w:right="259"/>
        <w:shd w:fill="F5F6F7"/>
        <w:pBdr>
          <w:left w:val="single" w:sz="18" w:space="8" w:color="DCE5EF"/>
        </w:pBdr>
      </w:pPr>
      <w:r>
        <w:t>Deep in the ocean, many animals can make their own light. This phenomenon is called bioluminescence. Scientists estimate that a large share of animals living in the open-ocean water column are bioluminescent. Some animals may use light to find food, communicate, hide, or defend themselves. Because sunlight does not reach the deepest parts of the ocean, a flash of living light can be especially useful in the darkness.</w:t>
      </w:r>
    </w:p>
    <w:p>
      <w:pPr>
        <w:spacing w:after="60"/>
      </w:pPr>
      <w:r>
        <w:rPr>
          <w:b/>
          <w:color w:val="17365F"/>
        </w:rPr>
        <w:t xml:space="preserve">Internal readability screen: </w:t>
      </w:r>
      <w:r>
        <w:t>68 words; rough FK proxy 9.5 (not Lexile; not for publication)</w:t>
      </w:r>
    </w:p>
    <w:p>
      <w:pPr>
        <w:spacing w:after="60"/>
      </w:pPr>
      <w:r>
        <w:rPr>
          <w:b/>
          <w:color w:val="17365F"/>
        </w:rPr>
        <w:t xml:space="preserve">Lexile status: </w:t>
      </w:r>
      <w:r>
        <w:t>The related NOAA investigation is Grades 6-8; this adapted version may fit Flight B as a supported/stretch passage. Exact finalized text should be checked privately with an authorized Lexile analyzer.</w:t>
      </w:r>
    </w:p>
    <w:p>
      <w:pPr>
        <w:pStyle w:val="Heading2"/>
        <w:keepNext/>
      </w:pPr>
      <w:r>
        <w:t>C-sequ-01 · Flight C · DNA Clues in a Bottle of Seawater</w:t>
      </w:r>
    </w:p>
    <w:p>
      <w:pPr>
        <w:spacing w:after="60"/>
      </w:pPr>
      <w:r>
        <w:rPr>
          <w:b/>
          <w:color w:val="17365F"/>
        </w:rPr>
        <w:t xml:space="preserve">Topic: </w:t>
      </w:r>
      <w:r>
        <w:t>Ocean science / environmental DNA</w:t>
      </w:r>
    </w:p>
    <w:p>
      <w:pPr>
        <w:spacing w:after="60"/>
      </w:pPr>
      <w:r>
        <w:rPr>
          <w:b/>
          <w:color w:val="17365F"/>
        </w:rPr>
        <w:t xml:space="preserve">Target morphology: </w:t>
      </w:r>
      <w:r>
        <w:t>sequ (root) -&gt; sequence, sequences, sequenced; bio (Greek combining form) -&gt; biodiversity</w:t>
      </w:r>
    </w:p>
    <w:p>
      <w:pPr>
        <w:spacing w:after="60"/>
      </w:pPr>
      <w:r>
        <w:rPr>
          <w:b/>
          <w:color w:val="17365F"/>
        </w:rPr>
        <w:t xml:space="preserve">Purpose: </w:t>
      </w:r>
      <w:r>
        <w:t>application</w:t>
      </w:r>
    </w:p>
    <w:p>
      <w:pPr>
        <w:spacing w:after="60"/>
      </w:pPr>
      <w:r>
        <w:rPr>
          <w:b/>
          <w:color w:val="17365F"/>
        </w:rPr>
        <w:t xml:space="preserve">Interest hook: </w:t>
      </w:r>
      <w:r>
        <w:t>How much can scientists discover from one bottle of seawater?</w:t>
      </w:r>
    </w:p>
    <w:p>
      <w:pPr>
        <w:spacing w:after="60"/>
      </w:pPr>
      <w:r>
        <w:rPr>
          <w:b/>
          <w:color w:val="17365F"/>
        </w:rPr>
        <w:t xml:space="preserve">Source: </w:t>
      </w:r>
      <w:r>
        <w:t>NOAA Ocean Exploration — From Data to Discovery: Unlocking Ocean Secrets With eDNA</w:t>
      </w:r>
    </w:p>
    <w:p>
      <w:r>
        <w:rPr>
          <w:b/>
        </w:rPr>
        <w:t xml:space="preserve">Source URL: </w:t>
      </w:r>
      <w:hyperlink r:id="rId17">
        <w:r>
          <w:rPr>
            <w:color w:val="2876BB"/>
            <w:u w:val="single"/>
          </w:rPr>
          <w:t>https://oceanexplorer.noaa.gov/news/from-data-to-discovery-unlocking-ocean-secrets-with-edna/</w:t>
        </w:r>
      </w:hyperlink>
    </w:p>
    <w:p>
      <w:pPr>
        <w:spacing w:after="60"/>
      </w:pPr>
      <w:r>
        <w:rPr>
          <w:b/>
          <w:color w:val="17365F"/>
        </w:rPr>
        <w:t xml:space="preserve">Source audience: </w:t>
      </w:r>
      <w:r>
        <w:t>Current NOAA Ocean Exploration feature (2026)</w:t>
      </w:r>
    </w:p>
    <w:p>
      <w:pPr>
        <w:spacing w:after="60"/>
      </w:pPr>
      <w:r>
        <w:rPr>
          <w:b/>
          <w:color w:val="17365F"/>
        </w:rPr>
        <w:t xml:space="preserve">Rights note: </w:t>
      </w:r>
      <w:r>
        <w:t>NOAA Ocean Exploration states that site information is public domain unless otherwise noted; credit the contributing author/affiliation or NOAA Ocean Exploration.</w:t>
      </w:r>
    </w:p>
    <w:p>
      <w:pPr>
        <w:keepLines/>
        <w:spacing w:before="100" w:after="160"/>
        <w:ind w:left="173" w:right="173"/>
        <w:shd w:fill="F1F8F2"/>
        <w:pBdr>
          <w:left w:val="single" w:sz="18" w:space="8" w:color="43A047"/>
        </w:pBdr>
      </w:pPr>
      <w:r>
        <w:rPr>
          <w:b/>
          <w:color w:val="17365F"/>
        </w:rPr>
        <w:t xml:space="preserve">Progression note: </w:t>
      </w:r>
      <w:r>
        <w:t>sequence is legitimate instruction/application for sequ. The Migration Challenge word subsequent remains reserved and unseen.</w:t>
      </w:r>
    </w:p>
    <w:p>
      <w:r>
        <w:rPr>
          <w:b/>
          <w:color w:val="17365F"/>
        </w:rPr>
        <w:t>Draft excerpt</w:t>
      </w:r>
    </w:p>
    <w:p>
      <w:pPr>
        <w:ind w:left="259" w:right="259"/>
        <w:shd w:fill="F5F6F7"/>
        <w:pBdr>
          <w:left w:val="single" w:sz="18" w:space="8" w:color="DCE5EF"/>
        </w:pBdr>
      </w:pPr>
      <w:r>
        <w:t>Scientists can learn about ocean life from tiny traces of DNA left in seawater. They collect water samples, extract environmental DNA, and sequence the genetic material. The resulting sequences can be compared with reference data to help identify organisms that were present in an area. This method can reveal evidence from many species without requiring scientists to capture every animal. As more samples are collected and sequenced, researchers can compare locations and look for patterns in the biodiversity of the deep ocean.</w:t>
      </w:r>
    </w:p>
    <w:p>
      <w:pPr>
        <w:spacing w:after="60"/>
      </w:pPr>
      <w:r>
        <w:rPr>
          <w:b/>
          <w:color w:val="17365F"/>
        </w:rPr>
        <w:t xml:space="preserve">Internal readability screen: </w:t>
      </w:r>
      <w:r>
        <w:t>82 words; rough FK proxy 12.2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C-aud-01 · Flight C · Listening for Bats in the Dark</w:t>
      </w:r>
    </w:p>
    <w:p>
      <w:pPr>
        <w:spacing w:after="60"/>
      </w:pPr>
      <w:r>
        <w:rPr>
          <w:b/>
          <w:color w:val="17365F"/>
        </w:rPr>
        <w:t xml:space="preserve">Topic: </w:t>
      </w:r>
      <w:r>
        <w:t>Animals / sound</w:t>
      </w:r>
    </w:p>
    <w:p>
      <w:pPr>
        <w:spacing w:after="60"/>
      </w:pPr>
      <w:r>
        <w:rPr>
          <w:b/>
          <w:color w:val="17365F"/>
        </w:rPr>
        <w:t xml:space="preserve">Target morphology: </w:t>
      </w:r>
      <w:r>
        <w:t>aud (root) -&gt; auditory, audio; re- (prefix) -&gt; recording, recordings</w:t>
      </w:r>
    </w:p>
    <w:p>
      <w:pPr>
        <w:spacing w:after="60"/>
      </w:pPr>
      <w:r>
        <w:rPr>
          <w:b/>
          <w:color w:val="17365F"/>
        </w:rPr>
        <w:t xml:space="preserve">Purpose: </w:t>
      </w:r>
      <w:r>
        <w:t>instructional, application</w:t>
      </w:r>
    </w:p>
    <w:p>
      <w:pPr>
        <w:spacing w:after="60"/>
      </w:pPr>
      <w:r>
        <w:rPr>
          <w:b/>
          <w:color w:val="17365F"/>
        </w:rPr>
        <w:t xml:space="preserve">Interest hook: </w:t>
      </w:r>
      <w:r>
        <w:t>What can a bat hear that you cannot?</w:t>
      </w:r>
    </w:p>
    <w:p>
      <w:pPr>
        <w:spacing w:after="60"/>
      </w:pPr>
      <w:r>
        <w:rPr>
          <w:b/>
          <w:color w:val="17365F"/>
        </w:rPr>
        <w:t xml:space="preserve">Source: </w:t>
      </w:r>
      <w:r>
        <w:t>National Park Service — Mammals - Sequoia &amp; Kings Canyon National Parks</w:t>
      </w:r>
    </w:p>
    <w:p>
      <w:r>
        <w:rPr>
          <w:b/>
        </w:rPr>
        <w:t xml:space="preserve">Source URL: </w:t>
      </w:r>
      <w:hyperlink r:id="rId18">
        <w:r>
          <w:rPr>
            <w:color w:val="2876BB"/>
            <w:u w:val="single"/>
          </w:rPr>
          <w:t>https://www.nps.gov/seki/learn/nature/mammals.htm</w:t>
        </w:r>
      </w:hyperlink>
    </w:p>
    <w:p>
      <w:pPr>
        <w:spacing w:after="60"/>
      </w:pPr>
      <w:r>
        <w:rPr>
          <w:b/>
          <w:color w:val="17365F"/>
        </w:rPr>
        <w:t xml:space="preserve">Source audience: </w:t>
      </w:r>
      <w:r>
        <w:t>General NPS natural-history page</w:t>
      </w:r>
    </w:p>
    <w:p>
      <w:pPr>
        <w:spacing w:after="60"/>
      </w:pPr>
      <w:r>
        <w:rPr>
          <w:b/>
          <w:color w:val="17365F"/>
        </w:rPr>
        <w:t xml:space="preserve">Rights note: </w:t>
      </w:r>
      <w:r>
        <w:t>NPS-created text is generally U.S. public domain unless otherwise indicated; verify any separately credited media.</w:t>
      </w:r>
    </w:p>
    <w:p>
      <w:pPr>
        <w:keepLines/>
        <w:spacing w:before="100" w:after="160"/>
        <w:ind w:left="173" w:right="173"/>
        <w:shd w:fill="FFF2F2"/>
        <w:pBdr>
          <w:left w:val="single" w:sz="18" w:space="8" w:color="C75C5C"/>
        </w:pBdr>
      </w:pPr>
      <w:r>
        <w:rPr>
          <w:b/>
          <w:color w:val="17365F"/>
        </w:rPr>
        <w:t xml:space="preserve">Protection note: </w:t>
      </w:r>
      <w:r>
        <w:t>Revised in v2 to remove exact assessment words audible/inaudible. Uses auditory/audio instead.</w:t>
      </w:r>
    </w:p>
    <w:p>
      <w:r>
        <w:rPr>
          <w:b/>
          <w:color w:val="17365F"/>
        </w:rPr>
        <w:t>Draft excerpt</w:t>
      </w:r>
    </w:p>
    <w:p>
      <w:pPr>
        <w:ind w:left="259" w:right="259"/>
        <w:shd w:fill="F5F6F7"/>
        <w:pBdr>
          <w:left w:val="single" w:sz="18" w:space="8" w:color="DCE5EF"/>
        </w:pBdr>
      </w:pPr>
      <w:r>
        <w:t>Bats can hunt in darkness by sending out high-frequency calls and listening for echoes that bounce back from nearby objects or insects. Scientists can place recording equipment in natural areas to collect audio over long periods. These recordings provide auditory information about when bats are active and how their sound patterns change across places, seasons, and times of night.</w:t>
      </w:r>
    </w:p>
    <w:p>
      <w:pPr>
        <w:spacing w:after="60"/>
      </w:pPr>
      <w:r>
        <w:rPr>
          <w:b/>
          <w:color w:val="17365F"/>
        </w:rPr>
        <w:t xml:space="preserve">Internal readability screen: </w:t>
      </w:r>
      <w:r>
        <w:t>79 words; rough FK proxy 11.1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C-vert-01 · Flight C · How an Underwater Robot Moves</w:t>
      </w:r>
    </w:p>
    <w:p>
      <w:pPr>
        <w:spacing w:after="60"/>
      </w:pPr>
      <w:r>
        <w:rPr>
          <w:b/>
          <w:color w:val="17365F"/>
        </w:rPr>
        <w:t xml:space="preserve">Topic: </w:t>
      </w:r>
      <w:r>
        <w:t>Engineering / underwater robots</w:t>
      </w:r>
    </w:p>
    <w:p>
      <w:pPr>
        <w:spacing w:after="60"/>
      </w:pPr>
      <w:r>
        <w:rPr>
          <w:b/>
          <w:color w:val="17365F"/>
        </w:rPr>
        <w:t xml:space="preserve">Target morphology: </w:t>
      </w:r>
      <w:r>
        <w:t>vert (root) -&gt; convert, converts; -ion (suffix) -&gt; motion</w:t>
      </w:r>
    </w:p>
    <w:p>
      <w:pPr>
        <w:spacing w:after="60"/>
      </w:pPr>
      <w:r>
        <w:rPr>
          <w:b/>
          <w:color w:val="17365F"/>
        </w:rPr>
        <w:t xml:space="preserve">Purpose: </w:t>
      </w:r>
      <w:r>
        <w:t>instructional, application</w:t>
      </w:r>
    </w:p>
    <w:p>
      <w:pPr>
        <w:spacing w:after="60"/>
      </w:pPr>
      <w:r>
        <w:rPr>
          <w:b/>
          <w:color w:val="17365F"/>
        </w:rPr>
        <w:t xml:space="preserve">Interest hook: </w:t>
      </w:r>
      <w:r>
        <w:t>How does a robot turn stored energy into a moving arm deep underwater?</w:t>
      </w:r>
    </w:p>
    <w:p>
      <w:pPr>
        <w:spacing w:after="60"/>
      </w:pPr>
      <w:r>
        <w:rPr>
          <w:b/>
          <w:color w:val="17365F"/>
        </w:rPr>
        <w:t xml:space="preserve">Source: </w:t>
      </w:r>
      <w:r>
        <w:t>NOAA Ocean Exploration — Simple Machines: Robot Building Blocks</w:t>
      </w:r>
    </w:p>
    <w:p>
      <w:r>
        <w:rPr>
          <w:b/>
        </w:rPr>
        <w:t xml:space="preserve">Source URL: </w:t>
      </w:r>
      <w:hyperlink r:id="rId19">
        <w:r>
          <w:rPr>
            <w:color w:val="2876BB"/>
            <w:u w:val="single"/>
          </w:rPr>
          <w:t>https://oceanexplorer.noaa.gov/lesson/underwater-robots-simple-machines/</w:t>
        </w:r>
      </w:hyperlink>
    </w:p>
    <w:p>
      <w:pPr>
        <w:spacing w:after="60"/>
      </w:pPr>
      <w:r>
        <w:rPr>
          <w:b/>
          <w:color w:val="17365F"/>
        </w:rPr>
        <w:t xml:space="preserve">Source audience: </w:t>
      </w:r>
      <w:r>
        <w:t>NOAA lesson tagged Grades 6-8</w:t>
      </w:r>
    </w:p>
    <w:p>
      <w:pPr>
        <w:spacing w:after="60"/>
      </w:pPr>
      <w:r>
        <w:rPr>
          <w:b/>
          <w:color w:val="17365F"/>
        </w:rPr>
        <w:t xml:space="preserve">Rights note: </w:t>
      </w:r>
      <w:r>
        <w:t>NOAA Ocean Exploration states that site information is public domain unless otherwise noted; credit the contributing author/affiliation or NOAA Ocean Exploration.</w:t>
      </w:r>
    </w:p>
    <w:p>
      <w:pPr>
        <w:keepLines/>
        <w:spacing w:before="100" w:after="160"/>
        <w:ind w:left="173" w:right="173"/>
        <w:shd w:fill="FFF8E8"/>
        <w:pBdr>
          <w:left w:val="single" w:sz="18" w:space="8" w:color="C99B2E"/>
        </w:pBdr>
      </w:pPr>
      <w:r>
        <w:rPr>
          <w:b/>
          <w:color w:val="17365F"/>
        </w:rPr>
        <w:t xml:space="preserve">Instructional caution: </w:t>
      </w:r>
      <w:r>
        <w:t>convert is medium-transparency in the current inventory. Preserve con- + vert structure and use context/scaffolding rather than treating it as a simple one-part derivation.</w:t>
      </w:r>
    </w:p>
    <w:p>
      <w:r>
        <w:rPr>
          <w:b/>
          <w:color w:val="17365F"/>
        </w:rPr>
        <w:t>Draft excerpt</w:t>
      </w:r>
    </w:p>
    <w:p>
      <w:pPr>
        <w:ind w:left="259" w:right="259"/>
        <w:shd w:fill="F5F6F7"/>
        <w:pBdr>
          <w:left w:val="single" w:sz="18" w:space="8" w:color="DCE5EF"/>
        </w:pBdr>
      </w:pPr>
      <w:r>
        <w:t>Engineers who build underwater robots combine simple machines into complex systems. A remotely operated vehicle may use a hydraulic actuator to move a manipulator arm. The actuator can convert stored or supplied energy into motion, allowing the robot to push, pull, lift, or turn objects underwater. Engineers test the design, observe how the arm moves, and make changes when needed. This process helps them improve how efficiently the robot converts energy into controlled movement during an ocean mission.</w:t>
      </w:r>
    </w:p>
    <w:p>
      <w:pPr>
        <w:spacing w:after="60"/>
      </w:pPr>
      <w:r>
        <w:rPr>
          <w:b/>
          <w:color w:val="17365F"/>
        </w:rPr>
        <w:t xml:space="preserve">Internal readability screen: </w:t>
      </w:r>
      <w:r>
        <w:t>78 words; rough FK proxy 12.7 (not Lexile; not for publication)</w:t>
      </w:r>
    </w:p>
    <w:p>
      <w:pPr>
        <w:spacing w:after="60"/>
      </w:pPr>
      <w:r>
        <w:rPr>
          <w:b/>
          <w:color w:val="17365F"/>
        </w:rPr>
        <w:t xml:space="preserve">Lexile status: </w:t>
      </w:r>
      <w:r>
        <w:t>Source lesson is explicitly Grades 6-8. Exact finalized excerpt should be checked privately with an authorized Lexile Text Analyzer.</w:t>
      </w:r>
    </w:p>
    <w:p>
      <w:pPr>
        <w:pStyle w:val="Heading2"/>
        <w:keepNext/>
      </w:pPr>
      <w:r>
        <w:t>C-struct-02 · Flight C · Why Earthquake-Resistant Buildings Matter</w:t>
      </w:r>
    </w:p>
    <w:p>
      <w:pPr>
        <w:spacing w:after="60"/>
      </w:pPr>
      <w:r>
        <w:rPr>
          <w:b/>
          <w:color w:val="17365F"/>
        </w:rPr>
        <w:t xml:space="preserve">Topic: </w:t>
      </w:r>
      <w:r>
        <w:t>Earth science / engineering</w:t>
      </w:r>
    </w:p>
    <w:p>
      <w:pPr>
        <w:spacing w:after="60"/>
      </w:pPr>
      <w:r>
        <w:rPr>
          <w:b/>
          <w:color w:val="17365F"/>
        </w:rPr>
        <w:t xml:space="preserve">Target morphology: </w:t>
      </w:r>
      <w:r>
        <w:t>struct (root) -&gt; structure, construct; -tion (suffix) -&gt; composition, distribution</w:t>
      </w:r>
    </w:p>
    <w:p>
      <w:pPr>
        <w:spacing w:after="60"/>
      </w:pPr>
      <w:r>
        <w:rPr>
          <w:b/>
          <w:color w:val="17365F"/>
        </w:rPr>
        <w:t xml:space="preserve">Purpose: </w:t>
      </w:r>
      <w:r>
        <w:t>application</w:t>
      </w:r>
    </w:p>
    <w:p>
      <w:pPr>
        <w:spacing w:after="60"/>
      </w:pPr>
      <w:r>
        <w:rPr>
          <w:b/>
          <w:color w:val="17365F"/>
        </w:rPr>
        <w:t xml:space="preserve">Interest hook: </w:t>
      </w:r>
      <w:r>
        <w:t>How can engineers build something that survives when the ground itself moves?</w:t>
      </w:r>
    </w:p>
    <w:p>
      <w:pPr>
        <w:spacing w:after="60"/>
      </w:pPr>
      <w:r>
        <w:rPr>
          <w:b/>
          <w:color w:val="17365F"/>
        </w:rPr>
        <w:t xml:space="preserve">Source: </w:t>
      </w:r>
      <w:r>
        <w:t>U.S. Geological Survey — What are the Effects of Earthquakes?</w:t>
      </w:r>
    </w:p>
    <w:p>
      <w:r>
        <w:rPr>
          <w:b/>
        </w:rPr>
        <w:t xml:space="preserve">Source URL: </w:t>
      </w:r>
      <w:hyperlink r:id="rId20">
        <w:r>
          <w:rPr>
            <w:color w:val="2876BB"/>
            <w:u w:val="single"/>
          </w:rPr>
          <w:t>https://www.usgs.gov/programs/earthquake-hazards/what-are-effects-earthquakes</w:t>
        </w:r>
      </w:hyperlink>
    </w:p>
    <w:p>
      <w:pPr>
        <w:spacing w:after="60"/>
      </w:pPr>
      <w:r>
        <w:rPr>
          <w:b/>
          <w:color w:val="17365F"/>
        </w:rPr>
        <w:t xml:space="preserve">Source audience: </w:t>
      </w:r>
      <w:r>
        <w:t>USGS earthquake science</w:t>
      </w:r>
    </w:p>
    <w:p>
      <w:pPr>
        <w:spacing w:after="60"/>
      </w:pPr>
      <w:r>
        <w:rPr>
          <w:b/>
          <w:color w:val="17365F"/>
        </w:rPr>
        <w:t xml:space="preserve">Rights note: </w:t>
      </w:r>
      <w:r>
        <w:t>USGS-authored information is U.S. public domain; credit USGS and verify any separately credited media.</w:t>
      </w:r>
    </w:p>
    <w:p>
      <w:pPr>
        <w:keepLines/>
        <w:spacing w:before="100" w:after="160"/>
        <w:ind w:left="173" w:right="173"/>
        <w:shd w:fill="F1F8F2"/>
        <w:pBdr>
          <w:left w:val="single" w:sz="18" w:space="8" w:color="43A047"/>
        </w:pBdr>
      </w:pPr>
      <w:r>
        <w:rPr>
          <w:b/>
          <w:color w:val="17365F"/>
        </w:rPr>
        <w:t xml:space="preserve">Progression note: </w:t>
      </w:r>
      <w:r>
        <w:t>struct is introduced earlier; this is a denser connected-text application in a later Flight, illustrating that Flight and passage reading demand remain separate.</w:t>
      </w:r>
    </w:p>
    <w:p>
      <w:r>
        <w:rPr>
          <w:b/>
          <w:color w:val="17365F"/>
        </w:rPr>
        <w:t>Draft excerpt</w:t>
      </w:r>
    </w:p>
    <w:p>
      <w:pPr>
        <w:ind w:left="259" w:right="259"/>
        <w:shd w:fill="F5F6F7"/>
        <w:pBdr>
          <w:left w:val="single" w:sz="18" w:space="8" w:color="DCE5EF"/>
        </w:pBdr>
      </w:pPr>
      <w:r>
        <w:t>Earthquake waves can make a structure move in several directions at once. Some waves create side-to-side motion that can be especially damaging to buildings. Engineers therefore study how the ground is likely to shake before they construct an earthquake-resistant building. They consider the strength and duration of the shaking, the distance from a fault, and the properties of the soil and rock below the structure. The goal is to construct a building that can withstand the forces produced by an earthquake.</w:t>
      </w:r>
    </w:p>
    <w:p>
      <w:pPr>
        <w:spacing w:after="60"/>
      </w:pPr>
      <w:r>
        <w:rPr>
          <w:b/>
          <w:color w:val="17365F"/>
        </w:rPr>
        <w:t xml:space="preserve">Internal readability screen: </w:t>
      </w:r>
      <w:r>
        <w:t>81 words; rough FK proxy 9.8 (not Lexile; not for publication)</w:t>
      </w:r>
    </w:p>
    <w:p>
      <w:pPr>
        <w:spacing w:after="60"/>
      </w:pPr>
      <w:r>
        <w:rPr>
          <w:b/>
          <w:color w:val="17365F"/>
        </w:rPr>
        <w:t xml:space="preserve">Lexile status: </w:t>
      </w:r>
      <w:r>
        <w:t>Likely a higher-demand application passage; exact finalized excerpt should be checked privately with an authorized Lexile Text Analyzer.</w:t>
      </w:r>
    </w:p>
    <w:p>
      <w:pPr>
        <w:pStyle w:val="Heading2"/>
        <w:keepNext/>
      </w:pPr>
      <w:r>
        <w:t>B-telescope-01 · Flight B · A Tool for Looking Far Away</w:t>
      </w:r>
    </w:p>
    <w:p>
      <w:pPr>
        <w:spacing w:after="60"/>
      </w:pPr>
      <w:r>
        <w:rPr>
          <w:b/>
          <w:color w:val="17365F"/>
        </w:rPr>
        <w:t xml:space="preserve">Topic: </w:t>
      </w:r>
      <w:r>
        <w:t>Space / telescopes</w:t>
      </w:r>
    </w:p>
    <w:p>
      <w:pPr>
        <w:spacing w:after="60"/>
      </w:pPr>
      <w:r>
        <w:rPr>
          <w:b/>
          <w:color w:val="17365F"/>
        </w:rPr>
        <w:t xml:space="preserve">Target morphology: </w:t>
      </w:r>
      <w:r>
        <w:t>tele (Greek combining form) -&gt; telescope; scope (Greek combining form) -&gt; telescope</w:t>
      </w:r>
    </w:p>
    <w:p>
      <w:pPr>
        <w:spacing w:after="60"/>
      </w:pPr>
      <w:r>
        <w:rPr>
          <w:b/>
          <w:color w:val="17365F"/>
        </w:rPr>
        <w:t xml:space="preserve">Purpose: </w:t>
      </w:r>
      <w:r>
        <w:t>instructional, application</w:t>
      </w:r>
    </w:p>
    <w:p>
      <w:pPr>
        <w:spacing w:after="60"/>
      </w:pPr>
      <w:r>
        <w:rPr>
          <w:b/>
          <w:color w:val="17365F"/>
        </w:rPr>
        <w:t xml:space="preserve">Interest hook: </w:t>
      </w:r>
      <w:r>
        <w:t>How can a word tell you what a telescope is designed to do?</w:t>
      </w:r>
    </w:p>
    <w:p>
      <w:pPr>
        <w:spacing w:after="60"/>
      </w:pPr>
      <w:r>
        <w:rPr>
          <w:b/>
          <w:color w:val="17365F"/>
        </w:rPr>
        <w:t xml:space="preserve">Source: </w:t>
      </w:r>
      <w:r>
        <w:t>NASA Space Place — How Do Telescopes Work? / Telescopes</w:t>
      </w:r>
    </w:p>
    <w:p>
      <w:r>
        <w:rPr>
          <w:b/>
        </w:rPr>
        <w:t xml:space="preserve">Source URL: </w:t>
      </w:r>
      <w:hyperlink r:id="rId21">
        <w:r>
          <w:rPr>
            <w:color w:val="2876BB"/>
            <w:u w:val="single"/>
          </w:rPr>
          <w:t>https://spaceplace.nasa.gov/en/menu/kids/telescopes/</w:t>
        </w:r>
      </w:hyperlink>
    </w:p>
    <w:p>
      <w:pPr>
        <w:spacing w:after="60"/>
      </w:pPr>
      <w:r>
        <w:rPr>
          <w:b/>
          <w:color w:val="17365F"/>
        </w:rPr>
        <w:t xml:space="preserve">Source audience: </w:t>
      </w:r>
      <w:r>
        <w:t>NASA Science for Kids</w:t>
      </w:r>
    </w:p>
    <w:p>
      <w:pPr>
        <w:spacing w:after="60"/>
      </w:pPr>
      <w:r>
        <w:rPr>
          <w:b/>
          <w:color w:val="17365F"/>
        </w:rPr>
        <w:t xml:space="preserve">Rights note: </w:t>
      </w:r>
      <w:r>
        <w:t>NASA-authored content generally reusable for educational/informational use; verify separately credited media.</w:t>
      </w:r>
    </w:p>
    <w:p>
      <w:pPr>
        <w:keepLines/>
        <w:spacing w:before="100" w:after="160"/>
        <w:ind w:left="173" w:right="173"/>
        <w:shd w:fill="FFF2F2"/>
        <w:pBdr>
          <w:left w:val="single" w:sz="18" w:space="8" w:color="C75C5C"/>
        </w:pBdr>
      </w:pPr>
      <w:r>
        <w:rPr>
          <w:b/>
          <w:color w:val="17365F"/>
        </w:rPr>
        <w:t xml:space="preserve">Protection note: </w:t>
      </w:r>
      <w:r>
        <w:t>No scored pre/post target word or Migration Challenge reserved word is used as the morphology target.</w:t>
      </w:r>
    </w:p>
    <w:p>
      <w:r>
        <w:rPr>
          <w:b/>
          <w:color w:val="17365F"/>
        </w:rPr>
        <w:t>Draft excerpt</w:t>
      </w:r>
    </w:p>
    <w:p>
      <w:pPr>
        <w:ind w:left="259" w:right="259"/>
        <w:shd w:fill="F5F6F7"/>
        <w:pBdr>
          <w:left w:val="single" w:sz="18" w:space="8" w:color="DCE5EF"/>
        </w:pBdr>
      </w:pPr>
      <w:r>
        <w:t>Telescopes help us see objects that are very far away. A telescope gathers light with mirrors or lenses so distant objects are easier to observe. Some telescopes work from the ground, while others orbit Earth in space. In the word telescope, the Greek combining form tele means far or distant, and scope is connected with looking or examining. Together, those parts give a useful clue to what a telescope does.</w:t>
      </w:r>
    </w:p>
    <w:p>
      <w:pPr>
        <w:spacing w:after="60"/>
      </w:pPr>
      <w:r>
        <w:rPr>
          <w:b/>
          <w:color w:val="17365F"/>
        </w:rPr>
        <w:t xml:space="preserve">Internal readability screen: </w:t>
      </w:r>
      <w:r>
        <w:t>70 words; rough FK proxy 8.2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2"/>
        <w:keepNext/>
      </w:pPr>
      <w:r>
        <w:t>B-therm-01 · Flight B · Hot Water at the Bottom of the Ocean</w:t>
      </w:r>
    </w:p>
    <w:p>
      <w:pPr>
        <w:spacing w:after="60"/>
      </w:pPr>
      <w:r>
        <w:rPr>
          <w:b/>
          <w:color w:val="17365F"/>
        </w:rPr>
        <w:t xml:space="preserve">Topic: </w:t>
      </w:r>
      <w:r>
        <w:t>Ocean exploration / hydrothermal vents</w:t>
      </w:r>
    </w:p>
    <w:p>
      <w:pPr>
        <w:spacing w:after="60"/>
      </w:pPr>
      <w:r>
        <w:rPr>
          <w:b/>
          <w:color w:val="17365F"/>
        </w:rPr>
        <w:t xml:space="preserve">Target morphology: </w:t>
      </w:r>
      <w:r>
        <w:t>therm (Greek combining form) -&gt; hydrothermal, thermal; -al (suffix) -&gt; thermal</w:t>
      </w:r>
    </w:p>
    <w:p>
      <w:pPr>
        <w:spacing w:after="60"/>
      </w:pPr>
      <w:r>
        <w:rPr>
          <w:b/>
          <w:color w:val="17365F"/>
        </w:rPr>
        <w:t xml:space="preserve">Purpose: </w:t>
      </w:r>
      <w:r>
        <w:t>application</w:t>
      </w:r>
    </w:p>
    <w:p>
      <w:pPr>
        <w:spacing w:after="60"/>
      </w:pPr>
      <w:r>
        <w:rPr>
          <w:b/>
          <w:color w:val="17365F"/>
        </w:rPr>
        <w:t xml:space="preserve">Interest hook: </w:t>
      </w:r>
      <w:r>
        <w:t>How can icy ocean water become superheated deep below the seafloor?</w:t>
      </w:r>
    </w:p>
    <w:p>
      <w:pPr>
        <w:spacing w:after="60"/>
      </w:pPr>
      <w:r>
        <w:rPr>
          <w:b/>
          <w:color w:val="17365F"/>
        </w:rPr>
        <w:t xml:space="preserve">Source: </w:t>
      </w:r>
      <w:r>
        <w:t>NOAA Ocean Exploration — Hydrothermal Vents and Volcanoes</w:t>
      </w:r>
    </w:p>
    <w:p>
      <w:r>
        <w:rPr>
          <w:b/>
        </w:rPr>
        <w:t xml:space="preserve">Source URL: </w:t>
      </w:r>
      <w:hyperlink r:id="rId22">
        <w:r>
          <w:rPr>
            <w:color w:val="2876BB"/>
            <w:u w:val="single"/>
          </w:rPr>
          <w:t>https://oceanexplorer.noaa.gov/education/hydrothermal-vents-volcanoes-educators/</w:t>
        </w:r>
      </w:hyperlink>
    </w:p>
    <w:p>
      <w:pPr>
        <w:spacing w:after="60"/>
      </w:pPr>
      <w:r>
        <w:rPr>
          <w:b/>
          <w:color w:val="17365F"/>
        </w:rPr>
        <w:t xml:space="preserve">Source audience: </w:t>
      </w:r>
      <w:r>
        <w:t>NOAA educator resources; page includes Grades 6-8 resources</w:t>
      </w:r>
    </w:p>
    <w:p>
      <w:pPr>
        <w:spacing w:after="60"/>
      </w:pPr>
      <w:r>
        <w:rPr>
          <w:b/>
          <w:color w:val="17365F"/>
        </w:rPr>
        <w:t xml:space="preserve">Rights note: </w:t>
      </w:r>
      <w:r>
        <w:t>NOAA Ocean Exploration states site information is public domain unless otherwise noted; verify separately credited media.</w:t>
      </w:r>
    </w:p>
    <w:p>
      <w:pPr>
        <w:keepLines/>
        <w:spacing w:before="100" w:after="160"/>
        <w:ind w:left="173" w:right="173"/>
        <w:shd w:fill="FFF8E8"/>
        <w:pBdr>
          <w:left w:val="single" w:sz="18" w:space="8" w:color="C99B2E"/>
        </w:pBdr>
      </w:pPr>
      <w:r>
        <w:rPr>
          <w:b/>
          <w:color w:val="17365F"/>
        </w:rPr>
        <w:t xml:space="preserve">Instructional caution: </w:t>
      </w:r>
      <w:r>
        <w:t>Treat therm as the known clue plus context. Do not imply that students can derive the entire word hydrothermal from therm alone; hydro is not currently part of the First Volo target set.</w:t>
      </w:r>
    </w:p>
    <w:p>
      <w:r>
        <w:rPr>
          <w:b/>
          <w:color w:val="17365F"/>
        </w:rPr>
        <w:t>Draft excerpt</w:t>
      </w:r>
    </w:p>
    <w:p>
      <w:pPr>
        <w:ind w:left="259" w:right="259"/>
        <w:shd w:fill="F5F6F7"/>
        <w:pBdr>
          <w:left w:val="single" w:sz="18" w:space="8" w:color="DCE5EF"/>
        </w:pBdr>
      </w:pPr>
      <w:r>
        <w:t>Far below the ocean surface, cold seawater can move through cracks in the seafloor near hot magma. The water is heated and then rises back toward the ocean through hydrothermal vents. These vents can support unusual communities of animals even where sunlight does not reach. The Greek combining form therm means heat. That known part gives a useful clue in hydrothermal and thermal, while the surrounding science text helps confirm the whole meaning.</w:t>
      </w:r>
    </w:p>
    <w:p>
      <w:pPr>
        <w:spacing w:after="60"/>
      </w:pPr>
      <w:r>
        <w:rPr>
          <w:b/>
          <w:color w:val="17365F"/>
        </w:rPr>
        <w:t xml:space="preserve">Internal readability screen: </w:t>
      </w:r>
      <w:r>
        <w:t>73 words; rough FK proxy 8.4 (not Lexile; not for publication)</w:t>
      </w:r>
    </w:p>
    <w:p>
      <w:pPr>
        <w:spacing w:after="60"/>
      </w:pPr>
      <w:r>
        <w:rPr>
          <w:b/>
          <w:color w:val="17365F"/>
        </w:rPr>
        <w:t xml:space="preserve">Lexile status: </w:t>
      </w:r>
      <w:r>
        <w:t>Source collection includes Grades 6-8 material; exact adapted excerpt should be checked privately for reading demand.</w:t>
      </w:r>
    </w:p>
    <w:p>
      <w:pPr>
        <w:pStyle w:val="Heading2"/>
        <w:keepNext/>
      </w:pPr>
      <w:r>
        <w:t>C-terr-01 · Flight C · What Makes a Planet Terrestrial?</w:t>
      </w:r>
    </w:p>
    <w:p>
      <w:pPr>
        <w:spacing w:after="60"/>
      </w:pPr>
      <w:r>
        <w:rPr>
          <w:b/>
          <w:color w:val="17365F"/>
        </w:rPr>
        <w:t xml:space="preserve">Topic: </w:t>
      </w:r>
      <w:r>
        <w:t>Space / rocky planets</w:t>
      </w:r>
    </w:p>
    <w:p>
      <w:pPr>
        <w:spacing w:after="60"/>
      </w:pPr>
      <w:r>
        <w:rPr>
          <w:b/>
          <w:color w:val="17365F"/>
        </w:rPr>
        <w:t xml:space="preserve">Target morphology: </w:t>
      </w:r>
      <w:r>
        <w:t>terr (root) -&gt; terrestrial</w:t>
      </w:r>
    </w:p>
    <w:p>
      <w:pPr>
        <w:spacing w:after="60"/>
      </w:pPr>
      <w:r>
        <w:rPr>
          <w:b/>
          <w:color w:val="17365F"/>
        </w:rPr>
        <w:t xml:space="preserve">Purpose: </w:t>
      </w:r>
      <w:r>
        <w:t>instructional, application</w:t>
      </w:r>
    </w:p>
    <w:p>
      <w:pPr>
        <w:spacing w:after="60"/>
      </w:pPr>
      <w:r>
        <w:rPr>
          <w:b/>
          <w:color w:val="17365F"/>
        </w:rPr>
        <w:t xml:space="preserve">Interest hook: </w:t>
      </w:r>
      <w:r>
        <w:t>Why are Earth and Mars in the same planet group even though they look so different?</w:t>
      </w:r>
    </w:p>
    <w:p>
      <w:pPr>
        <w:spacing w:after="60"/>
      </w:pPr>
      <w:r>
        <w:rPr>
          <w:b/>
          <w:color w:val="17365F"/>
        </w:rPr>
        <w:t xml:space="preserve">Source: </w:t>
      </w:r>
      <w:r>
        <w:t>NASA Science — Earth / Terrestrial Planets</w:t>
      </w:r>
    </w:p>
    <w:p>
      <w:r>
        <w:rPr>
          <w:b/>
        </w:rPr>
        <w:t xml:space="preserve">Source URL: </w:t>
      </w:r>
      <w:hyperlink r:id="rId23">
        <w:r>
          <w:rPr>
            <w:color w:val="2876BB"/>
            <w:u w:val="single"/>
          </w:rPr>
          <w:t>https://science.nasa.gov/exoplanets/terrestrial/</w:t>
        </w:r>
      </w:hyperlink>
    </w:p>
    <w:p>
      <w:pPr>
        <w:spacing w:after="60"/>
      </w:pPr>
      <w:r>
        <w:rPr>
          <w:b/>
          <w:color w:val="17365F"/>
        </w:rPr>
        <w:t xml:space="preserve">Source audience: </w:t>
      </w:r>
      <w:r>
        <w:t>NASA Science; related NASA Kids Earth material available</w:t>
      </w:r>
    </w:p>
    <w:p>
      <w:pPr>
        <w:spacing w:after="60"/>
      </w:pPr>
      <w:r>
        <w:rPr>
          <w:b/>
          <w:color w:val="17365F"/>
        </w:rPr>
        <w:t xml:space="preserve">Rights note: </w:t>
      </w:r>
      <w:r>
        <w:t>NASA-authored content generally reusable for educational/informational use; verify separately credited media.</w:t>
      </w:r>
    </w:p>
    <w:p>
      <w:r>
        <w:rPr>
          <w:b/>
          <w:color w:val="17365F"/>
        </w:rPr>
        <w:t>Draft excerpt</w:t>
      </w:r>
    </w:p>
    <w:p>
      <w:pPr>
        <w:ind w:left="259" w:right="259"/>
        <w:shd w:fill="F5F6F7"/>
        <w:pBdr>
          <w:left w:val="single" w:sz="18" w:space="8" w:color="DCE5EF"/>
        </w:pBdr>
      </w:pPr>
      <w:r>
        <w:t>Earth, Mars, Mercury, and Venus are rocky planets with solid surfaces. Scientists call planets like these terrestrial planets. The root terr means earth or land, which gives a strong clue to the word terrestrial. Astronomers also use the term for rocky planets outside our solar system. Some are smaller than Earth and some are larger, but their solid, rocky nature separates them from giant planets made mostly of gas.</w:t>
      </w:r>
    </w:p>
    <w:p>
      <w:pPr>
        <w:spacing w:after="60"/>
      </w:pPr>
      <w:r>
        <w:rPr>
          <w:b/>
          <w:color w:val="17365F"/>
        </w:rPr>
        <w:t xml:space="preserve">Internal readability screen: </w:t>
      </w:r>
      <w:r>
        <w:t>69 words; rough FK proxy 7.6 (not Lexile; not for publication)</w:t>
      </w:r>
    </w:p>
    <w:p>
      <w:pPr>
        <w:spacing w:after="60"/>
      </w:pPr>
      <w:r>
        <w:rPr>
          <w:b/>
          <w:color w:val="17365F"/>
        </w:rPr>
        <w:t xml:space="preserve">Lexile status: </w:t>
      </w:r>
      <w:r>
        <w:t>Exact finalized excerpt should be checked privately with an authorized Lexile Text Analyzer; do not publish an unofficial estimate.</w:t>
      </w:r>
    </w:p>
    <w:p>
      <w:pPr>
        <w:pStyle w:val="Heading1"/>
        <w:keepNext/>
      </w:pPr>
      <w:r>
        <w:t>Appendix B. Protected-word registries</w:t>
      </w:r>
    </w:p>
    <w:p>
      <w:pPr>
        <w:pStyle w:val="Heading2"/>
        <w:keepNext/>
      </w:pPr>
      <w:r>
        <w:t>B1. Migration Challenge reserved words (complete current 30-word pool)</w:t>
      </w:r>
    </w:p>
    <w:p>
      <w:pPr>
        <w:spacing w:after="60"/>
      </w:pPr>
      <w:r>
        <w:rPr>
          <w:b/>
          <w:color w:val="17365F"/>
        </w:rPr>
        <w:t xml:space="preserve">Flight A: </w:t>
      </w:r>
      <w:r>
        <w:t>pregame · misplace · fearless · rebuild · readable · overcook · kindness · midpoint · unfair · speechless</w:t>
      </w:r>
    </w:p>
    <w:p>
      <w:pPr>
        <w:spacing w:after="60"/>
      </w:pPr>
      <w:r>
        <w:rPr>
          <w:b/>
          <w:color w:val="17365F"/>
        </w:rPr>
        <w:t xml:space="preserve">Flight B: </w:t>
      </w:r>
      <w:r>
        <w:t>export · biology · classify · semicircle · portable · manuscript · modernize · visible · thermometer · poetic</w:t>
      </w:r>
    </w:p>
    <w:p>
      <w:pPr>
        <w:spacing w:after="60"/>
      </w:pPr>
      <w:r>
        <w:rPr>
          <w:b/>
          <w:color w:val="17365F"/>
        </w:rPr>
        <w:t xml:space="preserve">Flight C: </w:t>
      </w:r>
      <w:r>
        <w:t>credible · detract · subsequent · acceptance · abnormal · evaluate · intervene · projection · dependent · retroactive</w:t>
      </w:r>
    </w:p>
    <w:p>
      <w:pPr>
        <w:pStyle w:val="Heading2"/>
        <w:keepNext/>
      </w:pPr>
      <w:r>
        <w:t>B2. Formal pre/post verified target-word registry from this audit</w:t>
      </w:r>
    </w:p>
    <w:p>
      <w:pPr>
        <w:keepLines/>
        <w:spacing w:before="100" w:after="160"/>
        <w:ind w:left="173" w:right="173"/>
        <w:shd w:fill="FFF8E8"/>
        <w:pBdr>
          <w:left w:val="single" w:sz="18" w:space="8" w:color="C99B2E"/>
        </w:pBdr>
      </w:pPr>
      <w:r>
        <w:rPr>
          <w:b/>
          <w:color w:val="17365F"/>
        </w:rPr>
        <w:t xml:space="preserve">Status note: </w:t>
      </w:r>
      <w:r>
        <w:t>This is the verified starter registry created in this excerpt-planning audit. Before production, every pre/post item should receive explicit protectedTargetWords metadata (or an automatically generated central registry) so protection is exhaustive and machine-testable.</w:t>
      </w:r>
    </w:p>
    <w:p>
      <w:pPr>
        <w:spacing w:after="60"/>
      </w:pPr>
      <w:r>
        <w:rPr>
          <w:b/>
          <w:color w:val="17365F"/>
        </w:rPr>
        <w:t xml:space="preserve">Flight A: </w:t>
      </w:r>
      <w:r>
        <w:t>careless · disagree · helpful · helpless · hopeful · hopeless · miscount · mislabel · preheat · preview · prewash · reheat · reread · review · teacher · unhappy</w:t>
      </w:r>
    </w:p>
    <w:p>
      <w:pPr>
        <w:spacing w:after="60"/>
      </w:pPr>
      <w:r>
        <w:rPr>
          <w:b/>
          <w:color w:val="17365F"/>
        </w:rPr>
        <w:t xml:space="preserve">Flight B: </w:t>
      </w:r>
      <w:r>
        <w:t>construction · disrupt · exportable · import · imported · importer · impossible · inactive · inspect · inspected · inspection · inspector · interrupt · interruption · reconstruct · spectator · transport · transportable</w:t>
      </w:r>
    </w:p>
    <w:p>
      <w:pPr>
        <w:spacing w:after="60"/>
      </w:pPr>
      <w:r>
        <w:rPr>
          <w:b/>
          <w:color w:val="17365F"/>
        </w:rPr>
        <w:t xml:space="preserve">Flight C: </w:t>
      </w:r>
      <w:r>
        <w:t>abduct · assistance · assistant · audible · chronology · eject · ejectable · emit · inaudible · produce · propelled · reposition · retractable · retrospective · transmit</w:t>
      </w:r>
    </w:p>
    <w:p>
      <w:pPr>
        <w:pStyle w:val="Heading2"/>
        <w:keepNext/>
      </w:pPr>
      <w:r>
        <w:t>B3. Future connected-text transfer registry</w:t>
      </w:r>
    </w:p>
    <w:p>
      <w:r>
        <w:t>Status: not yet populated. It must be a third non-overlapping reserved pool and must be filtered out of ordinary instruction/application once words are reserved.</w:t>
      </w:r>
    </w:p>
    <w:p>
      <w:pPr>
        <w:pStyle w:val="Heading1"/>
        <w:keepNext/>
      </w:pPr>
      <w:r>
        <w:t>Appendix C. Source references</w:t>
      </w:r>
    </w:p>
    <w:p>
      <w:pPr>
        <w:spacing w:after="60"/>
      </w:pPr>
      <w:r>
        <w:rPr>
          <w:b/>
        </w:rPr>
        <w:t xml:space="preserve">U.S. Copyright Office, 17 U.S.C. §105: </w:t>
      </w:r>
      <w:hyperlink r:id="rId24">
        <w:r>
          <w:rPr>
            <w:color w:val="2876BB"/>
            <w:u w:val="single"/>
          </w:rPr>
          <w:t>https://www.copyright.gov/title17/92chap1.html</w:t>
        </w:r>
      </w:hyperlink>
    </w:p>
    <w:p>
      <w:pPr>
        <w:spacing w:after="60"/>
      </w:pPr>
      <w:r>
        <w:rPr>
          <w:b/>
        </w:rPr>
        <w:t xml:space="preserve">NASA Images and Media Usage Guidelines: </w:t>
      </w:r>
      <w:hyperlink r:id="rId25">
        <w:r>
          <w:rPr>
            <w:color w:val="2876BB"/>
            <w:u w:val="single"/>
          </w:rPr>
          <w:t>https://www.nasa.gov/nasa-brand-center/images-and-media/</w:t>
        </w:r>
      </w:hyperlink>
    </w:p>
    <w:p>
      <w:pPr>
        <w:spacing w:after="60"/>
      </w:pPr>
      <w:r>
        <w:rPr>
          <w:b/>
        </w:rPr>
        <w:t xml:space="preserve">NOAA Ocean Exploration Media/Kit guidance: </w:t>
      </w:r>
      <w:hyperlink r:id="rId26">
        <w:r>
          <w:rPr>
            <w:color w:val="2876BB"/>
            <w:u w:val="single"/>
          </w:rPr>
          <w:t>https://oceanexplorer.noaa.gov/about/kit/</w:t>
        </w:r>
      </w:hyperlink>
    </w:p>
    <w:p>
      <w:pPr>
        <w:spacing w:after="60"/>
      </w:pPr>
      <w:r>
        <w:rPr>
          <w:b/>
        </w:rPr>
        <w:t xml:space="preserve">USGS copyright FAQ: </w:t>
      </w:r>
      <w:hyperlink r:id="rId27">
        <w:r>
          <w:rPr>
            <w:color w:val="2876BB"/>
            <w:u w:val="single"/>
          </w:rPr>
          <w:t>https://www.usgs.gov/faqs/are-usgs-reportspublications-copyrighted</w:t>
        </w:r>
      </w:hyperlink>
    </w:p>
    <w:p>
      <w:pPr>
        <w:spacing w:after="60"/>
      </w:pPr>
      <w:r>
        <w:rPr>
          <w:b/>
        </w:rPr>
        <w:t xml:space="preserve">NPS disclaimer/copyright guidance: </w:t>
      </w:r>
      <w:hyperlink r:id="rId28">
        <w:r>
          <w:rPr>
            <w:color w:val="2876BB"/>
            <w:u w:val="single"/>
          </w:rPr>
          <w:t>https://www.nps.gov/aboutus/disclaimer.htm</w:t>
        </w:r>
      </w:hyperlink>
    </w:p>
    <w:p>
      <w:pPr>
        <w:spacing w:after="60"/>
      </w:pPr>
      <w:r>
        <w:rPr>
          <w:b/>
        </w:rPr>
        <w:t xml:space="preserve">Lexile Text Analyzer User Guide: </w:t>
      </w:r>
      <w:hyperlink r:id="rId29">
        <w:r>
          <w:rPr>
            <w:color w:val="2876BB"/>
            <w:u w:val="single"/>
          </w:rPr>
          <w:t>https://hub.lexile.com/text-analyzer-user-guide/</w:t>
        </w:r>
      </w:hyperlink>
    </w:p>
    <w:p>
      <w:pPr>
        <w:spacing w:after="60"/>
      </w:pPr>
      <w:r>
        <w:rPr>
          <w:b/>
        </w:rPr>
        <w:t xml:space="preserve">Lexile Text Preparation Guidelines: </w:t>
      </w:r>
      <w:hyperlink r:id="rId30">
        <w:r>
          <w:rPr>
            <w:color w:val="2876BB"/>
            <w:u w:val="single"/>
          </w:rPr>
          <w:t>https://hub.lexile.com/text-preparation-guidelines/</w:t>
        </w:r>
      </w:hyperlink>
    </w:p>
    <w:p>
      <w:pPr>
        <w:spacing w:after="60"/>
      </w:pPr>
      <w:r>
        <w:rPr>
          <w:b/>
        </w:rPr>
        <w:t xml:space="preserve">Lexile Text Analyzer: </w:t>
      </w:r>
      <w:hyperlink r:id="rId31">
        <w:r>
          <w:rPr>
            <w:color w:val="2876BB"/>
            <w:u w:val="single"/>
          </w:rPr>
          <w:t>https://hub.lexile.com/text-analyzer/</w:t>
        </w:r>
      </w:hyperlink>
    </w:p>
    <w:p>
      <w:pPr>
        <w:spacing w:after="60"/>
      </w:pPr>
      <w:r>
        <w:rPr>
          <w:b/>
        </w:rPr>
        <w:t xml:space="preserve">Project Gutenberg: </w:t>
      </w:r>
      <w:hyperlink r:id="rId32">
        <w:r>
          <w:rPr>
            <w:color w:val="2876BB"/>
            <w:u w:val="single"/>
          </w:rPr>
          <w:t>https://www.gutenberg.org/</w:t>
        </w:r>
      </w:hyperlink>
    </w:p>
    <w:p>
      <w:pPr>
        <w:spacing w:after="60"/>
      </w:pPr>
      <w:r>
        <w:rPr>
          <w:b/>
        </w:rPr>
        <w:t xml:space="preserve">Duke Center for the Study of the Public Domain — Public Domain Day 2026: </w:t>
      </w:r>
      <w:hyperlink r:id="rId33">
        <w:r>
          <w:rPr>
            <w:color w:val="2876BB"/>
            <w:u w:val="single"/>
          </w:rPr>
          <w:t>https://web.law.duke.edu/cspd/publicdomainday/2026/</w:t>
        </w:r>
      </w:hyperlink>
    </w:p>
    <w:p>
      <w:pPr>
        <w:spacing w:after="60"/>
      </w:pPr>
      <w:r>
        <w:rPr>
          <w:b/>
        </w:rPr>
        <w:t xml:space="preserve">The Reading League — What Is the Science of Reading?: </w:t>
      </w:r>
      <w:hyperlink r:id="rId34">
        <w:r>
          <w:rPr>
            <w:color w:val="2876BB"/>
            <w:u w:val="single"/>
          </w:rPr>
          <w:t>https://www.thereadingleague.org/what-is-the-science-of-reading/</w:t>
        </w:r>
      </w:hyperlink>
    </w:p>
    <w:p>
      <w:pPr>
        <w:spacing w:after="60"/>
      </w:pPr>
      <w:r>
        <w:rPr>
          <w:b/>
        </w:rPr>
        <w:t xml:space="preserve">NICHD / National Reading Panel: </w:t>
      </w:r>
      <w:hyperlink r:id="rId35">
        <w:r>
          <w:rPr>
            <w:color w:val="2876BB"/>
            <w:u w:val="single"/>
          </w:rPr>
          <w:t>https://www.nichd.nih.gov/research/supported/nrp</w:t>
        </w:r>
      </w:hyperlink>
    </w:p>
    <w:p>
      <w:pPr>
        <w:pStyle w:val="Heading2"/>
        <w:keepNext/>
      </w:pPr>
      <w:r>
        <w:t>Federal/source pages already represented in v3</w:t>
      </w:r>
    </w:p>
    <w:p>
      <w:pPr>
        <w:spacing w:after="60"/>
      </w:pPr>
      <w:r>
        <w:rPr>
          <w:b/>
        </w:rPr>
        <w:t xml:space="preserve">NASA Space Place — What Is a Comet?: </w:t>
      </w:r>
      <w:hyperlink r:id="rId10">
        <w:r>
          <w:rPr>
            <w:color w:val="2876BB"/>
            <w:u w:val="single"/>
          </w:rPr>
          <w:t>https://spaceplace.nasa.gov/comets/en/</w:t>
        </w:r>
      </w:hyperlink>
    </w:p>
    <w:p>
      <w:pPr>
        <w:spacing w:after="60"/>
      </w:pPr>
      <w:r>
        <w:rPr>
          <w:b/>
        </w:rPr>
        <w:t xml:space="preserve">National Park Service — Get Wild: Yellowstone Survivor: </w:t>
      </w:r>
      <w:hyperlink r:id="rId11">
        <w:r>
          <w:rPr>
            <w:color w:val="2876BB"/>
            <w:u w:val="single"/>
          </w:rPr>
          <w:t>https://www.nps.gov/yell/learn/kidsyouth/get-wild-yellowstone-survivor.htm</w:t>
        </w:r>
      </w:hyperlink>
    </w:p>
    <w:p>
      <w:pPr>
        <w:spacing w:after="60"/>
      </w:pPr>
      <w:r>
        <w:rPr>
          <w:b/>
        </w:rPr>
        <w:t xml:space="preserve">National Park Service — Desert Adaptations: </w:t>
      </w:r>
      <w:hyperlink r:id="rId12">
        <w:r>
          <w:rPr>
            <w:color w:val="2876BB"/>
            <w:u w:val="single"/>
          </w:rPr>
          <w:t>https://www.nps.gov/teachers/classrooms/desert-adaptations.htm</w:t>
        </w:r>
      </w:hyperlink>
    </w:p>
    <w:p>
      <w:pPr>
        <w:spacing w:after="60"/>
      </w:pPr>
      <w:r>
        <w:rPr>
          <w:b/>
        </w:rPr>
        <w:t xml:space="preserve">U.S. Geological Survey — Cool Earthquake Facts / The Science of Earthquakes: </w:t>
      </w:r>
      <w:hyperlink r:id="rId13">
        <w:r>
          <w:rPr>
            <w:color w:val="2876BB"/>
            <w:u w:val="single"/>
          </w:rPr>
          <w:t>https://www.usgs.gov/programs/earthquake-hazards/cool-earthquake-facts</w:t>
        </w:r>
      </w:hyperlink>
    </w:p>
    <w:p>
      <w:pPr>
        <w:spacing w:after="60"/>
      </w:pPr>
      <w:r>
        <w:rPr>
          <w:b/>
        </w:rPr>
        <w:t xml:space="preserve">NOAA Ocean Exploration — Telepresence Technology: </w:t>
      </w:r>
      <w:hyperlink r:id="rId14">
        <w:r>
          <w:rPr>
            <w:color w:val="2876BB"/>
            <w:u w:val="single"/>
          </w:rPr>
          <w:t>https://oceanexplorer.noaa.gov/technology/telepresence/</w:t>
        </w:r>
      </w:hyperlink>
    </w:p>
    <w:p>
      <w:pPr>
        <w:spacing w:after="60"/>
      </w:pPr>
      <w:r>
        <w:rPr>
          <w:b/>
        </w:rPr>
        <w:t xml:space="preserve">National Park Service — Animal Adaptations: </w:t>
      </w:r>
      <w:hyperlink r:id="rId15">
        <w:r>
          <w:rPr>
            <w:color w:val="2876BB"/>
            <w:u w:val="single"/>
          </w:rPr>
          <w:t>https://www.nps.gov/teachers/classrooms/animal-adaptations.htm</w:t>
        </w:r>
      </w:hyperlink>
    </w:p>
    <w:p>
      <w:pPr>
        <w:spacing w:after="60"/>
      </w:pPr>
      <w:r>
        <w:rPr>
          <w:b/>
        </w:rPr>
        <w:t xml:space="preserve">NOAA Ocean Exploration — Bioluminescence: </w:t>
      </w:r>
      <w:hyperlink r:id="rId16">
        <w:r>
          <w:rPr>
            <w:color w:val="2876BB"/>
            <w:u w:val="single"/>
          </w:rPr>
          <w:t>https://oceanexplorer.noaa.gov/education/bioluminescence/</w:t>
        </w:r>
      </w:hyperlink>
    </w:p>
    <w:p>
      <w:pPr>
        <w:spacing w:after="60"/>
      </w:pPr>
      <w:r>
        <w:rPr>
          <w:b/>
        </w:rPr>
        <w:t xml:space="preserve">NOAA Ocean Exploration — From Data to Discovery: Unlocking Ocean Secrets With eDNA: </w:t>
      </w:r>
      <w:hyperlink r:id="rId17">
        <w:r>
          <w:rPr>
            <w:color w:val="2876BB"/>
            <w:u w:val="single"/>
          </w:rPr>
          <w:t>https://oceanexplorer.noaa.gov/news/from-data-to-discovery-unlocking-ocean-secrets-with-edna/</w:t>
        </w:r>
      </w:hyperlink>
    </w:p>
    <w:p>
      <w:pPr>
        <w:spacing w:after="60"/>
      </w:pPr>
      <w:r>
        <w:rPr>
          <w:b/>
        </w:rPr>
        <w:t xml:space="preserve">National Park Service — Mammals - Sequoia &amp; Kings Canyon National Parks: </w:t>
      </w:r>
      <w:hyperlink r:id="rId18">
        <w:r>
          <w:rPr>
            <w:color w:val="2876BB"/>
            <w:u w:val="single"/>
          </w:rPr>
          <w:t>https://www.nps.gov/seki/learn/nature/mammals.htm</w:t>
        </w:r>
      </w:hyperlink>
    </w:p>
    <w:p>
      <w:pPr>
        <w:spacing w:after="60"/>
      </w:pPr>
      <w:r>
        <w:rPr>
          <w:b/>
        </w:rPr>
        <w:t xml:space="preserve">NOAA Ocean Exploration — Simple Machines: Robot Building Blocks: </w:t>
      </w:r>
      <w:hyperlink r:id="rId19">
        <w:r>
          <w:rPr>
            <w:color w:val="2876BB"/>
            <w:u w:val="single"/>
          </w:rPr>
          <w:t>https://oceanexplorer.noaa.gov/lesson/underwater-robots-simple-machines/</w:t>
        </w:r>
      </w:hyperlink>
    </w:p>
    <w:p>
      <w:pPr>
        <w:spacing w:after="60"/>
      </w:pPr>
      <w:r>
        <w:rPr>
          <w:b/>
        </w:rPr>
        <w:t xml:space="preserve">U.S. Geological Survey — What are the Effects of Earthquakes?: </w:t>
      </w:r>
      <w:hyperlink r:id="rId20">
        <w:r>
          <w:rPr>
            <w:color w:val="2876BB"/>
            <w:u w:val="single"/>
          </w:rPr>
          <w:t>https://www.usgs.gov/programs/earthquake-hazards/what-are-effects-earthquakes</w:t>
        </w:r>
      </w:hyperlink>
    </w:p>
    <w:p>
      <w:pPr>
        <w:spacing w:after="60"/>
      </w:pPr>
      <w:r>
        <w:rPr>
          <w:b/>
        </w:rPr>
        <w:t xml:space="preserve">NASA Space Place — How Do Telescopes Work? / Telescopes: </w:t>
      </w:r>
      <w:hyperlink r:id="rId21">
        <w:r>
          <w:rPr>
            <w:color w:val="2876BB"/>
            <w:u w:val="single"/>
          </w:rPr>
          <w:t>https://spaceplace.nasa.gov/en/menu/kids/telescopes/</w:t>
        </w:r>
      </w:hyperlink>
    </w:p>
    <w:p>
      <w:pPr>
        <w:spacing w:after="60"/>
      </w:pPr>
      <w:r>
        <w:rPr>
          <w:b/>
        </w:rPr>
        <w:t xml:space="preserve">NOAA Ocean Exploration — Hydrothermal Vents and Volcanoes: </w:t>
      </w:r>
      <w:hyperlink r:id="rId22">
        <w:r>
          <w:rPr>
            <w:color w:val="2876BB"/>
            <w:u w:val="single"/>
          </w:rPr>
          <w:t>https://oceanexplorer.noaa.gov/education/hydrothermal-vents-volcanoes-educators/</w:t>
        </w:r>
      </w:hyperlink>
    </w:p>
    <w:p>
      <w:pPr>
        <w:spacing w:after="60"/>
      </w:pPr>
      <w:r>
        <w:rPr>
          <w:b/>
        </w:rPr>
        <w:t xml:space="preserve">NASA Science — Earth / Terrestrial Planets: </w:t>
      </w:r>
      <w:hyperlink r:id="rId23">
        <w:r>
          <w:rPr>
            <w:color w:val="2876BB"/>
            <w:u w:val="single"/>
          </w:rPr>
          <w:t>https://science.nasa.gov/exoplanets/terrestrial/</w:t>
        </w:r>
      </w:hyperlink>
    </w:p>
    <w:p>
      <w:pPr>
        <w:spacing w:before="280"/>
        <w:jc w:val="center"/>
      </w:pPr>
      <w:r>
        <w:rPr>
          <w:b/>
          <w:color w:val="43A047"/>
          <w:sz w:val="20"/>
        </w:rPr>
        <w:t>END OF HANDOFF</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 xml:space="preserve">First Volo Morphology | Connected-Text Excerpt System | Planning Handoff | Aug. 20, 2026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24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F"/>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2876BB"/>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6F3F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2876B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259"/>
    </w:pPr>
    <w:rPr>
      <w:rFonts w:ascii="Consolas" w:hAnsi="Consolas" w:eastAsia="Consolas"/>
      <w:color w:val="3038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paceplace.nasa.gov/comets/en/" TargetMode="External"/><Relationship Id="rId11" Type="http://schemas.openxmlformats.org/officeDocument/2006/relationships/hyperlink" Target="https://www.nps.gov/yell/learn/kidsyouth/get-wild-yellowstone-survivor.htm" TargetMode="External"/><Relationship Id="rId12" Type="http://schemas.openxmlformats.org/officeDocument/2006/relationships/hyperlink" Target="https://www.nps.gov/teachers/classrooms/desert-adaptations.htm" TargetMode="External"/><Relationship Id="rId13" Type="http://schemas.openxmlformats.org/officeDocument/2006/relationships/hyperlink" Target="https://www.usgs.gov/programs/earthquake-hazards/cool-earthquake-facts" TargetMode="External"/><Relationship Id="rId14" Type="http://schemas.openxmlformats.org/officeDocument/2006/relationships/hyperlink" Target="https://oceanexplorer.noaa.gov/technology/telepresence/" TargetMode="External"/><Relationship Id="rId15" Type="http://schemas.openxmlformats.org/officeDocument/2006/relationships/hyperlink" Target="https://www.nps.gov/teachers/classrooms/animal-adaptations.htm" TargetMode="External"/><Relationship Id="rId16" Type="http://schemas.openxmlformats.org/officeDocument/2006/relationships/hyperlink" Target="https://oceanexplorer.noaa.gov/education/bioluminescence/" TargetMode="External"/><Relationship Id="rId17" Type="http://schemas.openxmlformats.org/officeDocument/2006/relationships/hyperlink" Target="https://oceanexplorer.noaa.gov/news/from-data-to-discovery-unlocking-ocean-secrets-with-edna/" TargetMode="External"/><Relationship Id="rId18" Type="http://schemas.openxmlformats.org/officeDocument/2006/relationships/hyperlink" Target="https://www.nps.gov/seki/learn/nature/mammals.htm" TargetMode="External"/><Relationship Id="rId19" Type="http://schemas.openxmlformats.org/officeDocument/2006/relationships/hyperlink" Target="https://oceanexplorer.noaa.gov/lesson/underwater-robots-simple-machines/" TargetMode="External"/><Relationship Id="rId20" Type="http://schemas.openxmlformats.org/officeDocument/2006/relationships/hyperlink" Target="https://www.usgs.gov/programs/earthquake-hazards/what-are-effects-earthquakes" TargetMode="External"/><Relationship Id="rId21" Type="http://schemas.openxmlformats.org/officeDocument/2006/relationships/hyperlink" Target="https://spaceplace.nasa.gov/en/menu/kids/telescopes/" TargetMode="External"/><Relationship Id="rId22" Type="http://schemas.openxmlformats.org/officeDocument/2006/relationships/hyperlink" Target="https://oceanexplorer.noaa.gov/education/hydrothermal-vents-volcanoes-educators/" TargetMode="External"/><Relationship Id="rId23" Type="http://schemas.openxmlformats.org/officeDocument/2006/relationships/hyperlink" Target="https://science.nasa.gov/exoplanets/terrestrial/" TargetMode="External"/><Relationship Id="rId24" Type="http://schemas.openxmlformats.org/officeDocument/2006/relationships/hyperlink" Target="https://www.copyright.gov/title17/92chap1.html" TargetMode="External"/><Relationship Id="rId25" Type="http://schemas.openxmlformats.org/officeDocument/2006/relationships/hyperlink" Target="https://www.nasa.gov/nasa-brand-center/images-and-media/" TargetMode="External"/><Relationship Id="rId26" Type="http://schemas.openxmlformats.org/officeDocument/2006/relationships/hyperlink" Target="https://oceanexplorer.noaa.gov/about/kit/" TargetMode="External"/><Relationship Id="rId27" Type="http://schemas.openxmlformats.org/officeDocument/2006/relationships/hyperlink" Target="https://www.usgs.gov/faqs/are-usgs-reportspublications-copyrighted" TargetMode="External"/><Relationship Id="rId28" Type="http://schemas.openxmlformats.org/officeDocument/2006/relationships/hyperlink" Target="https://www.nps.gov/aboutus/disclaimer.htm" TargetMode="External"/><Relationship Id="rId29" Type="http://schemas.openxmlformats.org/officeDocument/2006/relationships/hyperlink" Target="https://hub.lexile.com/text-analyzer-user-guide/" TargetMode="External"/><Relationship Id="rId30" Type="http://schemas.openxmlformats.org/officeDocument/2006/relationships/hyperlink" Target="https://hub.lexile.com/text-preparation-guidelines/" TargetMode="External"/><Relationship Id="rId31" Type="http://schemas.openxmlformats.org/officeDocument/2006/relationships/hyperlink" Target="https://hub.lexile.com/text-analyzer/" TargetMode="External"/><Relationship Id="rId32" Type="http://schemas.openxmlformats.org/officeDocument/2006/relationships/hyperlink" Target="https://www.gutenberg.org/" TargetMode="External"/><Relationship Id="rId33" Type="http://schemas.openxmlformats.org/officeDocument/2006/relationships/hyperlink" Target="https://web.law.duke.edu/cspd/publicdomainday/2026/" TargetMode="External"/><Relationship Id="rId34" Type="http://schemas.openxmlformats.org/officeDocument/2006/relationships/hyperlink" Target="https://www.thereadingleague.org/what-is-the-science-of-reading/" TargetMode="External"/><Relationship Id="rId35" Type="http://schemas.openxmlformats.org/officeDocument/2006/relationships/hyperlink" Target="https://www.nichd.nih.gov/research/supported/n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Volo Morphology Connected-Text Excerpt System — Planning Handoff</dc:title>
  <dc:subject>Planning and specifications for the connected-text excerpt bank and its integration surfaces</dc:subject>
  <dc:creator>python-docx</dc:creator>
  <cp:keywords>First Volo Morphology, excerpts, connected text, morphology, transfer, assessment protection, teacher guidance</cp:keywords>
  <dc:description>Generated as a project handoff document from the excerpt-planning thread.</dc:description>
  <cp:lastModifiedBy/>
  <cp:revision>1</cp:revision>
  <dcterms:created xsi:type="dcterms:W3CDTF">2013-12-23T23:15:00Z</dcterms:created>
  <dcterms:modified xsi:type="dcterms:W3CDTF">2013-12-23T23:15:00Z</dcterms:modified>
  <cp:category/>
</cp:coreProperties>
</file>