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7B8A" w:val="clear"/>
        <w:spacing w:after="200" w:before="200"/>
        <w:jc w:val="center"/>
      </w:pPr>
      <w:r>
        <w:rPr>
          <w:rFonts w:ascii="Arial" w:cs="Arial" w:eastAsia="Arial" w:hAnsi="Arial"/>
          <w:b/>
          <w:bCs/>
          <w:color w:val="FFFFFF"/>
          <w:sz w:val="32"/>
          <w:szCs w:val="32"/>
        </w:rPr>
        <w:t xml:space="preserve">Sound Localization Test — Product Requirement Document</w:t>
      </w:r>
    </w:p>
    <w:p>
      <w:r>
        <w:t xml:space="preserve"/>
      </w:r>
    </w:p>
    <w:p>
      <w:r>
        <w:rPr>
          <w:rFonts w:ascii="Arial" w:cs="Arial" w:eastAsia="Arial" w:hAnsi="Arial"/>
          <w:i/>
          <w:iCs/>
          <w:color w:val="555555"/>
          <w:sz w:val="20"/>
          <w:szCs w:val="20"/>
        </w:rPr>
        <w:t xml:space="preserve">Version 1.0  ·  2026-04-13  ·  Author: Claude (Anthropic) in collaboration with project owner</w:t>
      </w:r>
    </w:p>
    <w:p>
      <w:r>
        <w:t xml:space="preserve"/>
      </w:r>
    </w:p>
    <w:p>
      <w:pPr>
        <w:pStyle w:val="Heading1"/>
        <w:spacing w:after="120" w:before="320"/>
      </w:pPr>
      <w:r>
        <w:rPr>
          <w:rFonts w:ascii="Arial" w:cs="Arial" w:eastAsia="Arial" w:hAnsi="Arial"/>
          <w:b/>
          <w:bCs/>
          <w:color w:val="1A7B8A"/>
          <w:sz w:val="28"/>
          <w:szCs w:val="28"/>
        </w:rPr>
        <w:t xml:space="preserve">1. Project Overview</w:t>
      </w:r>
    </w:p>
    <w:p>
      <w:pPr>
        <w:spacing w:after="80" w:before="80"/>
      </w:pPr>
      <w:r>
        <w:rPr>
          <w:rFonts w:ascii="Arial" w:cs="Arial" w:eastAsia="Arial" w:hAnsi="Arial"/>
          <w:sz w:val="22"/>
          <w:szCs w:val="22"/>
        </w:rPr>
        <w:t xml:space="preserve">The Sound Localization Test (SLT) is a MATLAB-based psychoacoustic experiment that assesses a human listener's ability to localize sound sources in the horizontal plane. The program plays a stimulus from one of six spatially arranged speakers — or from a virtual panned position between two speakers — and records where the listener perceives the sound to originate. Results are analyzed and visualized automatically at the end of each session.</w:t>
      </w:r>
    </w:p>
    <w:p>
      <w:r>
        <w:t xml:space="preserve"/>
      </w:r>
    </w:p>
    <w:p>
      <w:pPr>
        <w:pStyle w:val="Heading1"/>
        <w:spacing w:after="120" w:before="320"/>
      </w:pPr>
      <w:r>
        <w:rPr>
          <w:rFonts w:ascii="Arial" w:cs="Arial" w:eastAsia="Arial" w:hAnsi="Arial"/>
          <w:b/>
          <w:bCs/>
          <w:color w:val="1A7B8A"/>
          <w:sz w:val="28"/>
          <w:szCs w:val="28"/>
        </w:rPr>
        <w:t xml:space="preserve">2. Physical System</w:t>
      </w:r>
    </w:p>
    <w:p>
      <w:pPr>
        <w:spacing w:after="80" w:before="80"/>
      </w:pPr>
      <w:r>
        <w:rPr>
          <w:rFonts w:ascii="Arial" w:cs="Arial" w:eastAsia="Arial" w:hAnsi="Arial"/>
          <w:sz w:val="22"/>
          <w:szCs w:val="22"/>
        </w:rPr>
        <w:t xml:space="preserve">Six loudspeakers are arranged in a regular hexagonal formation centered on the listener. Speakers are numbered 1–6 clockwise, with Speaker 1 positioned directly in front of the listener (0°). Remaining speakers are placed at 60° increments: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tblGrid>
      <w:tr>
        <w:tc>
          <w:tcPr>
            <w:tcW w:type="dxa" w:w="20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Speaker</w:t>
            </w:r>
          </w:p>
        </w:tc>
        <w:tc>
          <w:tcPr>
            <w:tcW w:type="dxa" w:w="25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Angle</w:t>
            </w:r>
          </w:p>
        </w:tc>
        <w:tc>
          <w:tcPr>
            <w:tcW w:type="dxa" w:w="25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Front-Right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Back-Right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Back-Left</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Front-Left</w:t>
            </w:r>
          </w:p>
        </w:tc>
      </w:tr>
    </w:tbl>
    <w:p>
      <w:r>
        <w:t xml:space="preserve"/>
      </w:r>
    </w:p>
    <w:p>
      <w:pPr>
        <w:spacing w:after="80" w:before="80"/>
      </w:pPr>
      <w:r>
        <w:rPr>
          <w:rFonts w:ascii="Arial" w:cs="Arial" w:eastAsia="Arial" w:hAnsi="Arial"/>
          <w:sz w:val="22"/>
          <w:szCs w:val="22"/>
        </w:rPr>
        <w:t xml:space="preserve">Audio is routed to speakers via a multi-channel audio interface using PsychPortAudio (Psychtoolbox). MATLAB audio channels 1–6 map directly to speakers 1–6.</w:t>
      </w:r>
    </w:p>
    <w:p>
      <w:r>
        <w:t xml:space="preserve"/>
      </w:r>
    </w:p>
    <w:p>
      <w:pPr>
        <w:pStyle w:val="Heading1"/>
        <w:spacing w:after="120" w:before="320"/>
      </w:pPr>
      <w:r>
        <w:rPr>
          <w:rFonts w:ascii="Arial" w:cs="Arial" w:eastAsia="Arial" w:hAnsi="Arial"/>
          <w:b/>
          <w:bCs/>
          <w:color w:val="1A7B8A"/>
          <w:sz w:val="28"/>
          <w:szCs w:val="28"/>
        </w:rPr>
        <w:t xml:space="preserve">3. Acoustic &amp; Signal Processing Context</w:t>
      </w:r>
    </w:p>
    <w:p>
      <w:pPr>
        <w:pStyle w:val="Heading2"/>
        <w:spacing w:after="80" w:before="240"/>
      </w:pPr>
      <w:r>
        <w:rPr>
          <w:rFonts w:ascii="Arial" w:cs="Arial" w:eastAsia="Arial" w:hAnsi="Arial"/>
          <w:b/>
          <w:bCs/>
          <w:color w:val="1A1A2E"/>
          <w:sz w:val="24"/>
          <w:szCs w:val="24"/>
        </w:rPr>
        <w:t xml:space="preserve">3.1 Stimulus Types</w:t>
      </w:r>
    </w:p>
    <w:p>
      <w:pPr>
        <w:pStyle w:val="ListParagraph"/>
        <w:numPr>
          <w:ilvl w:val="0"/>
          <w:numId w:val="2"/>
        </w:numPr>
        <w:spacing w:after="60" w:before="60"/>
      </w:pPr>
      <w:r>
        <w:rPr>
          <w:rFonts w:ascii="Arial" w:cs="Arial" w:eastAsia="Arial" w:hAnsi="Arial"/>
          <w:sz w:val="22"/>
          <w:szCs w:val="22"/>
        </w:rPr>
        <w:t xml:space="preserve">Tonal stimuli: Hann-windowed sine waves at 125, 250, 500, 750, or 1000 Hz. The window eliminates spectral splatter and audible clicks at onset and offset. The windowed buffer is looped continuously until the listener responds.</w:t>
      </w:r>
    </w:p>
    <w:p>
      <w:pPr>
        <w:pStyle w:val="ListParagraph"/>
        <w:numPr>
          <w:ilvl w:val="0"/>
          <w:numId w:val="2"/>
        </w:numPr>
        <w:spacing w:after="60" w:before="60"/>
      </w:pPr>
      <w:r>
        <w:rPr>
          <w:rFonts w:ascii="Arial" w:cs="Arial" w:eastAsia="Arial" w:hAnsi="Arial"/>
          <w:sz w:val="22"/>
          <w:szCs w:val="22"/>
        </w:rPr>
        <w:t xml:space="preserve">Gaussian noise: White Gaussian noise generated fresh each trial, looped continuously until the listener responds.</w:t>
      </w:r>
    </w:p>
    <w:p>
      <w:r>
        <w:t xml:space="preserve"/>
      </w:r>
    </w:p>
    <w:p>
      <w:pPr>
        <w:pStyle w:val="Heading2"/>
        <w:spacing w:after="80" w:before="240"/>
      </w:pPr>
      <w:r>
        <w:rPr>
          <w:rFonts w:ascii="Arial" w:cs="Arial" w:eastAsia="Arial" w:hAnsi="Arial"/>
          <w:b/>
          <w:bCs/>
          <w:color w:val="1A1A2E"/>
          <w:sz w:val="24"/>
          <w:szCs w:val="24"/>
        </w:rPr>
        <w:t xml:space="preserve">3.2 Discrete Speaker Mode</w:t>
      </w:r>
    </w:p>
    <w:p>
      <w:pPr>
        <w:spacing w:after="80" w:before="80"/>
      </w:pPr>
      <w:r>
        <w:rPr>
          <w:rFonts w:ascii="Arial" w:cs="Arial" w:eastAsia="Arial" w:hAnsi="Arial"/>
          <w:sz w:val="22"/>
          <w:szCs w:val="22"/>
        </w:rPr>
        <w:t xml:space="preserve">A single speaker (1–6) is chosen at random each trial with uniform probability. The stimulus plays from that channel at full amplitude. The same speaker may appear on consecutive trials.</w:t>
      </w:r>
    </w:p>
    <w:p>
      <w:r>
        <w:t xml:space="preserve"/>
      </w:r>
    </w:p>
    <w:p>
      <w:pPr>
        <w:pStyle w:val="Heading2"/>
        <w:spacing w:after="80" w:before="240"/>
      </w:pPr>
      <w:r>
        <w:rPr>
          <w:rFonts w:ascii="Arial" w:cs="Arial" w:eastAsia="Arial" w:hAnsi="Arial"/>
          <w:b/>
          <w:bCs/>
          <w:color w:val="1A1A2E"/>
          <w:sz w:val="24"/>
          <w:szCs w:val="24"/>
        </w:rPr>
        <w:t xml:space="preserve">3.3 Continuous Panning Mode — Sine Law Panning</w:t>
      </w:r>
    </w:p>
    <w:p>
      <w:pPr>
        <w:spacing w:after="80" w:before="80"/>
      </w:pPr>
      <w:r>
        <w:rPr>
          <w:rFonts w:ascii="Arial" w:cs="Arial" w:eastAsia="Arial" w:hAnsi="Arial"/>
          <w:sz w:val="22"/>
          <w:szCs w:val="22"/>
        </w:rPr>
        <w:t xml:space="preserve">A random integer degree (1–360) is selected each trial. The 360° space is divided into six 60° sectors, each bounded by two adjacent speakers:</w:t>
      </w:r>
    </w:p>
    <w:p>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tblGrid>
      <w:tr>
        <w:tc>
          <w:tcPr>
            <w:tcW w:type="dxa" w:w="18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8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Bounding Speakers</w:t>
            </w:r>
          </w:p>
        </w:tc>
        <w:tc>
          <w:tcPr>
            <w:tcW w:type="dxa" w:w="24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Degree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1 &amp;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60°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2 &amp; 3</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60° – 120°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3 &amp;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 180°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4 &amp; 5</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180° – 240°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Speakers 5 &amp;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 – 300°</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Speakers 6 &amp; 1</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300° – 360°</w:t>
            </w:r>
          </w:p>
        </w:tc>
      </w:tr>
    </w:tbl>
    <w:p>
      <w:r>
        <w:t xml:space="preserve"/>
      </w:r>
    </w:p>
    <w:p>
      <w:pPr>
        <w:spacing w:after="80" w:before="80"/>
      </w:pPr>
      <w:r>
        <w:rPr>
          <w:rFonts w:ascii="Arial" w:cs="Arial" w:eastAsia="Arial" w:hAnsi="Arial"/>
          <w:sz w:val="22"/>
          <w:szCs w:val="22"/>
        </w:rPr>
        <w:t xml:space="preserve">Within a sector, amplitude is split between the two bounding speakers using the sine panning law to maintain constant total power:</w:t>
      </w:r>
    </w:p>
    <w:p>
      <w:r>
        <w:t xml:space="preserve"/>
      </w:r>
    </w:p>
    <w:p>
      <w:pPr>
        <w:shd w:fill="F4F4F4" w:val="clear"/>
        <w:spacing w:after="60" w:before="60"/>
        <w:ind w:left="720"/>
      </w:pPr>
      <w:r>
        <w:rPr>
          <w:rFonts w:ascii="Courier New" w:cs="Courier New" w:eastAsia="Courier New" w:hAnsi="Courier New"/>
          <w:sz w:val="20"/>
          <w:szCs w:val="20"/>
        </w:rPr>
        <w:t xml:space="preserve">theta = (degree - sector_start) / 60 * (pi/2)</w:t>
      </w:r>
    </w:p>
    <w:p>
      <w:pPr>
        <w:shd w:fill="F4F4F4" w:val="clear"/>
        <w:spacing w:after="60" w:before="60"/>
        <w:ind w:left="720"/>
      </w:pPr>
      <w:r>
        <w:rPr>
          <w:rFonts w:ascii="Courier New" w:cs="Courier New" w:eastAsia="Courier New" w:hAnsi="Courier New"/>
          <w:sz w:val="20"/>
          <w:szCs w:val="20"/>
        </w:rPr>
        <w:t xml:space="preserve">A_left_speaker  = cos(theta)</w:t>
      </w:r>
    </w:p>
    <w:p>
      <w:pPr>
        <w:shd w:fill="F4F4F4" w:val="clear"/>
        <w:spacing w:after="60" w:before="60"/>
        <w:ind w:left="720"/>
      </w:pPr>
      <w:r>
        <w:rPr>
          <w:rFonts w:ascii="Courier New" w:cs="Courier New" w:eastAsia="Courier New" w:hAnsi="Courier New"/>
          <w:sz w:val="20"/>
          <w:szCs w:val="20"/>
        </w:rPr>
        <w:t xml:space="preserve">A_right_speaker = sin(theta)</w:t>
      </w:r>
    </w:p>
    <w:p>
      <w:r>
        <w:t xml:space="preserve"/>
      </w:r>
    </w:p>
    <w:p>
      <w:pPr>
        <w:spacing w:after="80" w:before="80"/>
      </w:pPr>
      <w:r>
        <w:rPr>
          <w:rFonts w:ascii="Arial" w:cs="Arial" w:eastAsia="Arial" w:hAnsi="Arial"/>
          <w:sz w:val="22"/>
          <w:szCs w:val="22"/>
        </w:rPr>
        <w:t xml:space="preserve">When theta = 0, sound plays entirely from the counterclockwise speaker. When theta = pi/2, it plays entirely from the clockwise speaker. Intermediate values distribute power continuously and perceptually smoothly.</w:t>
      </w:r>
    </w:p>
    <w:p>
      <w:r>
        <w:t xml:space="preserve"/>
      </w:r>
    </w:p>
    <w:p>
      <w:pPr>
        <w:pStyle w:val="Heading1"/>
        <w:spacing w:after="120" w:before="320"/>
      </w:pPr>
      <w:r>
        <w:rPr>
          <w:rFonts w:ascii="Arial" w:cs="Arial" w:eastAsia="Arial" w:hAnsi="Arial"/>
          <w:b/>
          <w:bCs/>
          <w:color w:val="1A7B8A"/>
          <w:sz w:val="28"/>
          <w:szCs w:val="28"/>
        </w:rPr>
        <w:t xml:space="preserve">4. GUI Design</w:t>
      </w:r>
    </w:p>
    <w:p>
      <w:pPr>
        <w:spacing w:after="80" w:before="80"/>
      </w:pPr>
      <w:r>
        <w:rPr>
          <w:rFonts w:ascii="Arial" w:cs="Arial" w:eastAsia="Arial" w:hAnsi="Arial"/>
          <w:sz w:val="22"/>
          <w:szCs w:val="22"/>
        </w:rPr>
        <w:t xml:space="preserve">The GUI aesthetic follows a clean laboratory style: teal/cyan header banners, soft pink input fields, white panel backgrounds, light blue overall background, and a bold green Start button.</w:t>
      </w:r>
    </w:p>
    <w:p>
      <w:r>
        <w:t xml:space="preserve"/>
      </w:r>
    </w:p>
    <w:p>
      <w:pPr>
        <w:pStyle w:val="Heading2"/>
        <w:spacing w:after="80" w:before="240"/>
      </w:pPr>
      <w:r>
        <w:rPr>
          <w:rFonts w:ascii="Arial" w:cs="Arial" w:eastAsia="Arial" w:hAnsi="Arial"/>
          <w:b/>
          <w:bCs/>
          <w:color w:val="1A1A2E"/>
          <w:sz w:val="24"/>
          <w:szCs w:val="24"/>
        </w:rPr>
        <w:t xml:space="preserve">4.1 Intro GUI</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tblGrid>
      <w:tr>
        <w:tc>
          <w:tcPr>
            <w:tcW w:type="dxa" w:w="22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00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1A7B8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Stimulus Selection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125 Hz, 250 Hz, 500 Hz, 750 Hz, 1000 Hz, Gaussian Noise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Number of Trials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Numeric input</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Positive integer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(positive number)</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Mode Selection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Dropdown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Discrete Speakers / Continuous Panning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field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 used as figure subheader in results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Start</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Button</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Launches Subject ID prompt then experiment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Button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Launches calibration routine</w:t>
            </w:r>
          </w:p>
        </w:tc>
      </w:tr>
    </w:tbl>
    <w:p>
      <w:r>
        <w:t xml:space="preserve"/>
      </w:r>
    </w:p>
    <w:p>
      <w:pPr>
        <w:pStyle w:val="Heading2"/>
        <w:spacing w:after="80" w:before="240"/>
      </w:pPr>
      <w:r>
        <w:rPr>
          <w:rFonts w:ascii="Arial" w:cs="Arial" w:eastAsia="Arial" w:hAnsi="Arial"/>
          <w:b/>
          <w:bCs/>
          <w:color w:val="1A1A2E"/>
          <w:sz w:val="24"/>
          <w:szCs w:val="24"/>
        </w:rPr>
        <w:t xml:space="preserve">4.2 Calibration Routine</w:t>
      </w:r>
    </w:p>
    <w:p>
      <w:pPr>
        <w:spacing w:after="80" w:before="80"/>
      </w:pPr>
      <w:r>
        <w:rPr>
          <w:rFonts w:ascii="Arial" w:cs="Arial" w:eastAsia="Arial" w:hAnsi="Arial"/>
          <w:sz w:val="22"/>
          <w:szCs w:val="22"/>
        </w:rPr>
        <w:t xml:space="preserve">On pressing Calibrate, the program cycles through speakers 1–6. For each speaker it displays the active channel, plays the selected stimulus continuously, and waits for the user to click Next Speaker before advancing. Audio stops and the window closes after Speaker 6.</w:t>
      </w:r>
    </w:p>
    <w:p>
      <w:r>
        <w:t xml:space="preserve"/>
      </w:r>
    </w:p>
    <w:p>
      <w:pPr>
        <w:pStyle w:val="Heading2"/>
        <w:spacing w:after="80" w:before="240"/>
      </w:pPr>
      <w:r>
        <w:rPr>
          <w:rFonts w:ascii="Arial" w:cs="Arial" w:eastAsia="Arial" w:hAnsi="Arial"/>
          <w:b/>
          <w:bCs/>
          <w:color w:val="1A1A2E"/>
          <w:sz w:val="24"/>
          <w:szCs w:val="24"/>
        </w:rPr>
        <w:t xml:space="preserve">4.3 Experiment Screen — Discrete Speakers Mode</w:t>
      </w:r>
    </w:p>
    <w:p>
      <w:pPr>
        <w:pStyle w:val="ListParagraph"/>
        <w:numPr>
          <w:ilvl w:val="0"/>
          <w:numId w:val="2"/>
        </w:numPr>
        <w:spacing w:after="60" w:before="60"/>
      </w:pPr>
      <w:r>
        <w:rPr>
          <w:rFonts w:ascii="Arial" w:cs="Arial" w:eastAsia="Arial" w:hAnsi="Arial"/>
          <w:sz w:val="22"/>
          <w:szCs w:val="22"/>
        </w:rPr>
        <w:t xml:space="preserve">Neutral/black background — no speaker diagram or visual cues</w:t>
      </w:r>
    </w:p>
    <w:p>
      <w:pPr>
        <w:pStyle w:val="ListParagraph"/>
        <w:numPr>
          <w:ilvl w:val="0"/>
          <w:numId w:val="2"/>
        </w:numPr>
        <w:spacing w:after="60" w:before="60"/>
      </w:pPr>
      <w:r>
        <w:rPr>
          <w:rFonts w:ascii="Arial" w:cs="Arial" w:eastAsia="Arial" w:hAnsi="Arial"/>
          <w:sz w:val="22"/>
          <w:szCs w:val="22"/>
        </w:rPr>
        <w:t xml:space="preserve">Displays current trial number and total trials (e.g., Trial 3 of 20)</w:t>
      </w:r>
    </w:p>
    <w:p>
      <w:pPr>
        <w:pStyle w:val="ListParagraph"/>
        <w:numPr>
          <w:ilvl w:val="0"/>
          <w:numId w:val="2"/>
        </w:numPr>
        <w:spacing w:after="60" w:before="60"/>
      </w:pPr>
      <w:r>
        <w:rPr>
          <w:rFonts w:ascii="Arial" w:cs="Arial" w:eastAsia="Arial" w:hAnsi="Arial"/>
          <w:sz w:val="22"/>
          <w:szCs w:val="22"/>
        </w:rPr>
        <w:t xml:space="preserve">Listens for keypress 1–6; stops stimulus immediately on keypress</w:t>
      </w:r>
    </w:p>
    <w:p>
      <w:pPr>
        <w:pStyle w:val="ListParagraph"/>
        <w:numPr>
          <w:ilvl w:val="0"/>
          <w:numId w:val="2"/>
        </w:numPr>
        <w:spacing w:after="60" w:before="60"/>
      </w:pPr>
      <w:r>
        <w:rPr>
          <w:rFonts w:ascii="Arial" w:cs="Arial" w:eastAsia="Arial" w:hAnsi="Arial"/>
          <w:sz w:val="22"/>
          <w:szCs w:val="22"/>
        </w:rPr>
        <w:t xml:space="preserve">Displays a live countdown timer for the configured pause duration before the next trial</w:t>
      </w:r>
    </w:p>
    <w:p>
      <w:r>
        <w:t xml:space="preserve"/>
      </w:r>
    </w:p>
    <w:p>
      <w:pPr>
        <w:pStyle w:val="Heading2"/>
        <w:spacing w:after="80" w:before="240"/>
      </w:pPr>
      <w:r>
        <w:rPr>
          <w:rFonts w:ascii="Arial" w:cs="Arial" w:eastAsia="Arial" w:hAnsi="Arial"/>
          <w:b/>
          <w:bCs/>
          <w:color w:val="1A1A2E"/>
          <w:sz w:val="24"/>
          <w:szCs w:val="24"/>
        </w:rPr>
        <w:t xml:space="preserve">4.4 Experiment Screen — Continuous Panning Mode</w:t>
      </w:r>
    </w:p>
    <w:p>
      <w:pPr>
        <w:pStyle w:val="ListParagraph"/>
        <w:numPr>
          <w:ilvl w:val="0"/>
          <w:numId w:val="2"/>
        </w:numPr>
        <w:spacing w:after="60" w:before="60"/>
      </w:pPr>
      <w:r>
        <w:rPr>
          <w:rFonts w:ascii="Arial" w:cs="Arial" w:eastAsia="Arial" w:hAnsi="Arial"/>
          <w:sz w:val="22"/>
          <w:szCs w:val="22"/>
        </w:rPr>
        <w:t xml:space="preserve">Neutral/black background</w:t>
      </w:r>
    </w:p>
    <w:p>
      <w:pPr>
        <w:pStyle w:val="ListParagraph"/>
        <w:numPr>
          <w:ilvl w:val="0"/>
          <w:numId w:val="2"/>
        </w:numPr>
        <w:spacing w:after="60" w:before="60"/>
      </w:pPr>
      <w:r>
        <w:rPr>
          <w:rFonts w:ascii="Arial" w:cs="Arial" w:eastAsia="Arial" w:hAnsi="Arial"/>
          <w:sz w:val="22"/>
          <w:szCs w:val="22"/>
        </w:rPr>
        <w:t xml:space="preserve">Displays current trial number</w:t>
      </w:r>
    </w:p>
    <w:p>
      <w:pPr>
        <w:pStyle w:val="ListParagraph"/>
        <w:numPr>
          <w:ilvl w:val="0"/>
          <w:numId w:val="2"/>
        </w:numPr>
        <w:spacing w:after="60" w:before="60"/>
      </w:pPr>
      <w:r>
        <w:rPr>
          <w:rFonts w:ascii="Arial" w:cs="Arial" w:eastAsia="Arial" w:hAnsi="Arial"/>
          <w:sz w:val="22"/>
          <w:szCs w:val="22"/>
        </w:rPr>
        <w:t xml:space="preserve">Displays an interactive circular ring (0–360°) the listener clicks to indicate perceived direction</w:t>
      </w:r>
    </w:p>
    <w:p>
      <w:pPr>
        <w:pStyle w:val="ListParagraph"/>
        <w:numPr>
          <w:ilvl w:val="0"/>
          <w:numId w:val="2"/>
        </w:numPr>
        <w:spacing w:after="60" w:before="60"/>
      </w:pPr>
      <w:r>
        <w:rPr>
          <w:rFonts w:ascii="Arial" w:cs="Arial" w:eastAsia="Arial" w:hAnsi="Arial"/>
          <w:sz w:val="22"/>
          <w:szCs w:val="22"/>
        </w:rPr>
        <w:t xml:space="preserve">Stops stimulus immediately on click; records the clicked degree as the response</w:t>
      </w:r>
    </w:p>
    <w:p>
      <w:pPr>
        <w:pStyle w:val="ListParagraph"/>
        <w:numPr>
          <w:ilvl w:val="0"/>
          <w:numId w:val="2"/>
        </w:numPr>
        <w:spacing w:after="60" w:before="60"/>
      </w:pPr>
      <w:r>
        <w:rPr>
          <w:rFonts w:ascii="Arial" w:cs="Arial" w:eastAsia="Arial" w:hAnsi="Arial"/>
          <w:sz w:val="22"/>
          <w:szCs w:val="22"/>
        </w:rPr>
        <w:t xml:space="preserve">Displays live countdown timer before next trial</w:t>
      </w:r>
    </w:p>
    <w:p>
      <w:r>
        <w:t xml:space="preserve"/>
      </w:r>
    </w:p>
    <w:p>
      <w:pPr>
        <w:pStyle w:val="Heading2"/>
        <w:spacing w:after="80" w:before="240"/>
      </w:pPr>
      <w:r>
        <w:rPr>
          <w:rFonts w:ascii="Arial" w:cs="Arial" w:eastAsia="Arial" w:hAnsi="Arial"/>
          <w:b/>
          <w:bCs/>
          <w:color w:val="1A1A2E"/>
          <w:sz w:val="24"/>
          <w:szCs w:val="24"/>
        </w:rPr>
        <w:t xml:space="preserve">4.5 Subject ID Prompt</w:t>
      </w:r>
    </w:p>
    <w:p>
      <w:pPr>
        <w:spacing w:after="80" w:before="80"/>
      </w:pPr>
      <w:r>
        <w:rPr>
          <w:rFonts w:ascii="Arial" w:cs="Arial" w:eastAsia="Arial" w:hAnsi="Arial"/>
          <w:sz w:val="22"/>
          <w:szCs w:val="22"/>
        </w:rPr>
        <w:t xml:space="preserve">A modal dialog prompts for Subject ID (text entry) on pressing Start. The session filename is constructed from Subject ID and a timestamp.</w:t>
      </w:r>
    </w:p>
    <w:p>
      <w:r>
        <w:t xml:space="preserve"/>
      </w:r>
    </w:p>
    <w:p>
      <w:pPr>
        <w:pStyle w:val="Heading1"/>
        <w:spacing w:after="120" w:before="320"/>
      </w:pPr>
      <w:r>
        <w:rPr>
          <w:rFonts w:ascii="Arial" w:cs="Arial" w:eastAsia="Arial" w:hAnsi="Arial"/>
          <w:b/>
          <w:bCs/>
          <w:color w:val="1A7B8A"/>
          <w:sz w:val="28"/>
          <w:szCs w:val="28"/>
        </w:rPr>
        <w:t xml:space="preserve">5. Experiment Logic</w:t>
      </w:r>
    </w:p>
    <w:p>
      <w:pPr>
        <w:spacing w:after="80" w:before="80"/>
      </w:pPr>
      <w:r>
        <w:rPr>
          <w:rFonts w:ascii="Arial" w:cs="Arial" w:eastAsia="Arial" w:hAnsi="Arial"/>
          <w:sz w:val="22"/>
          <w:szCs w:val="22"/>
        </w:rPr>
        <w:t xml:space="preserve">The experiment flow is as follows:</w:t>
      </w:r>
    </w:p>
    <w:p>
      <w:pPr>
        <w:pStyle w:val="ListParagraph"/>
        <w:numPr>
          <w:ilvl w:val="0"/>
          <w:numId w:val="2"/>
        </w:numPr>
        <w:spacing w:after="60" w:before="60"/>
      </w:pPr>
      <w:r>
        <w:rPr>
          <w:rFonts w:ascii="Arial" w:cs="Arial" w:eastAsia="Arial" w:hAnsi="Arial"/>
          <w:sz w:val="22"/>
          <w:szCs w:val="22"/>
        </w:rPr>
        <w:t xml:space="preserve">Subject ID is collected.</w:t>
      </w:r>
    </w:p>
    <w:p>
      <w:pPr>
        <w:pStyle w:val="ListParagraph"/>
        <w:numPr>
          <w:ilvl w:val="0"/>
          <w:numId w:val="2"/>
        </w:numPr>
        <w:spacing w:after="60" w:before="60"/>
      </w:pPr>
      <w:r>
        <w:rPr>
          <w:rFonts w:ascii="Arial" w:cs="Arial" w:eastAsia="Arial" w:hAnsi="Arial"/>
          <w:sz w:val="22"/>
          <w:szCs w:val="22"/>
        </w:rPr>
        <w:t xml:space="preserve">For each trial: a location is selected at random → stimulus plays → response timer starts → listener responds → timer stops → stimulus stops → response and reaction time are recorded → countdown pause displays.</w:t>
      </w:r>
    </w:p>
    <w:p>
      <w:pPr>
        <w:pStyle w:val="ListParagraph"/>
        <w:numPr>
          <w:ilvl w:val="0"/>
          <w:numId w:val="2"/>
        </w:numPr>
        <w:spacing w:after="60" w:before="60"/>
      </w:pPr>
      <w:r>
        <w:rPr>
          <w:rFonts w:ascii="Arial" w:cs="Arial" w:eastAsia="Arial" w:hAnsi="Arial"/>
          <w:sz w:val="22"/>
          <w:szCs w:val="22"/>
        </w:rPr>
        <w:t xml:space="preserve">After the final trial, results are computed and displayed.</w:t>
      </w:r>
    </w:p>
    <w:p>
      <w:r>
        <w:t xml:space="preserve"/>
      </w:r>
    </w:p>
    <w:p>
      <w:pPr>
        <w:pStyle w:val="Heading1"/>
        <w:spacing w:after="120" w:before="320"/>
      </w:pPr>
      <w:r>
        <w:rPr>
          <w:rFonts w:ascii="Arial" w:cs="Arial" w:eastAsia="Arial" w:hAnsi="Arial"/>
          <w:b/>
          <w:bCs/>
          <w:color w:val="1A7B8A"/>
          <w:sz w:val="28"/>
          <w:szCs w:val="28"/>
        </w:rPr>
        <w:t xml:space="preserve">6. Results</w:t>
      </w:r>
    </w:p>
    <w:p>
      <w:pPr>
        <w:pStyle w:val="Heading2"/>
        <w:spacing w:after="80" w:before="240"/>
      </w:pPr>
      <w:r>
        <w:rPr>
          <w:rFonts w:ascii="Arial" w:cs="Arial" w:eastAsia="Arial" w:hAnsi="Arial"/>
          <w:b/>
          <w:bCs/>
          <w:color w:val="1A1A2E"/>
          <w:sz w:val="24"/>
          <w:szCs w:val="24"/>
        </w:rPr>
        <w:t xml:space="preserve">6.1 Summary Statistics</w:t>
      </w:r>
    </w:p>
    <w:p>
      <w:pPr>
        <w:pStyle w:val="ListParagraph"/>
        <w:numPr>
          <w:ilvl w:val="0"/>
          <w:numId w:val="2"/>
        </w:numPr>
        <w:spacing w:after="60" w:before="60"/>
      </w:pPr>
      <w:r>
        <w:rPr>
          <w:rFonts w:ascii="Arial" w:cs="Arial" w:eastAsia="Arial" w:hAnsi="Arial"/>
          <w:sz w:val="22"/>
          <w:szCs w:val="22"/>
        </w:rPr>
        <w:t xml:space="preserve">Total accuracy (Discrete mode only): percentage of trials where the correct speaker was selected.</w:t>
      </w:r>
    </w:p>
    <w:p>
      <w:pPr>
        <w:pStyle w:val="ListParagraph"/>
        <w:numPr>
          <w:ilvl w:val="0"/>
          <w:numId w:val="2"/>
        </w:numPr>
        <w:spacing w:after="60" w:before="60"/>
      </w:pPr>
      <w:r>
        <w:rPr>
          <w:rFonts w:ascii="Arial" w:cs="Arial" w:eastAsia="Arial" w:hAnsi="Arial"/>
          <w:sz w:val="22"/>
          <w:szCs w:val="22"/>
        </w:rPr>
        <w:t xml:space="preserve">Average angular error: mean absolute angular difference between stimulus and response, in degrees, accounting for circular wraparound.</w:t>
      </w:r>
    </w:p>
    <w:p>
      <w:pPr>
        <w:pStyle w:val="ListParagraph"/>
        <w:numPr>
          <w:ilvl w:val="0"/>
          <w:numId w:val="2"/>
        </w:numPr>
        <w:spacing w:after="60" w:before="60"/>
      </w:pPr>
      <w:r>
        <w:rPr>
          <w:rFonts w:ascii="Arial" w:cs="Arial" w:eastAsia="Arial" w:hAnsi="Arial"/>
          <w:sz w:val="22"/>
          <w:szCs w:val="22"/>
        </w:rPr>
        <w:t xml:space="preserve">Average response time: mean time from stimulus onset to listener response, in seconds.</w:t>
      </w:r>
    </w:p>
    <w:p>
      <w:r>
        <w:t xml:space="preserve"/>
      </w:r>
    </w:p>
    <w:p>
      <w:pPr>
        <w:pStyle w:val="Heading2"/>
        <w:spacing w:after="80" w:before="240"/>
      </w:pPr>
      <w:r>
        <w:rPr>
          <w:rFonts w:ascii="Arial" w:cs="Arial" w:eastAsia="Arial" w:hAnsi="Arial"/>
          <w:b/>
          <w:bCs/>
          <w:color w:val="1A1A2E"/>
          <w:sz w:val="24"/>
          <w:szCs w:val="24"/>
        </w:rPr>
        <w:t xml:space="preserve">6.2 Heatmaps</w:t>
      </w:r>
    </w:p>
    <w:p>
      <w:pPr>
        <w:spacing w:after="80" w:before="80"/>
      </w:pPr>
      <w:r>
        <w:rPr>
          <w:rFonts w:ascii="Arial" w:cs="Arial" w:eastAsia="Arial" w:hAnsi="Arial"/>
          <w:sz w:val="22"/>
          <w:szCs w:val="22"/>
        </w:rPr>
        <w:t xml:space="preserve">Two heatmap figures are generated. The x-axis represents stimulus position (speaker number or degree bin). Color encodes the metric: red = high, green = low.</w:t>
      </w:r>
    </w:p>
    <w:p>
      <w:pPr>
        <w:pStyle w:val="ListParagraph"/>
        <w:numPr>
          <w:ilvl w:val="0"/>
          <w:numId w:val="2"/>
        </w:numPr>
        <w:spacing w:after="60" w:before="60"/>
      </w:pPr>
      <w:r>
        <w:rPr>
          <w:rFonts w:ascii="Arial" w:cs="Arial" w:eastAsia="Arial" w:hAnsi="Arial"/>
          <w:sz w:val="22"/>
          <w:szCs w:val="22"/>
        </w:rPr>
        <w:t xml:space="preserve">Heatmap 1 — Error: average angular error per stimulus location.</w:t>
      </w:r>
    </w:p>
    <w:p>
      <w:pPr>
        <w:pStyle w:val="ListParagraph"/>
        <w:numPr>
          <w:ilvl w:val="0"/>
          <w:numId w:val="2"/>
        </w:numPr>
        <w:spacing w:after="60" w:before="60"/>
      </w:pPr>
      <w:r>
        <w:rPr>
          <w:rFonts w:ascii="Arial" w:cs="Arial" w:eastAsia="Arial" w:hAnsi="Arial"/>
          <w:sz w:val="22"/>
          <w:szCs w:val="22"/>
        </w:rPr>
        <w:t xml:space="preserve">Heatmap 2 — Response Time: average response time per stimulus location.</w:t>
      </w:r>
    </w:p>
    <w:p>
      <w:pPr>
        <w:spacing w:after="80" w:before="80"/>
      </w:pPr>
      <w:r>
        <w:rPr>
          <w:rFonts w:ascii="Arial" w:cs="Arial" w:eastAsia="Arial" w:hAnsi="Arial"/>
          <w:sz w:val="22"/>
          <w:szCs w:val="22"/>
        </w:rPr>
        <w:t xml:space="preserve">Both figures display the Description field as a subheader. Titles reflect their content clearly.</w:t>
      </w:r>
    </w:p>
    <w:p>
      <w:r>
        <w:t xml:space="preserve"/>
      </w:r>
    </w:p>
    <w:p>
      <w:pPr>
        <w:pStyle w:val="Heading2"/>
        <w:spacing w:after="80" w:before="240"/>
      </w:pPr>
      <w:r>
        <w:rPr>
          <w:rFonts w:ascii="Arial" w:cs="Arial" w:eastAsia="Arial" w:hAnsi="Arial"/>
          <w:b/>
          <w:bCs/>
          <w:color w:val="1A1A2E"/>
          <w:sz w:val="24"/>
          <w:szCs w:val="24"/>
        </w:rPr>
        <w:t xml:space="preserve">6.3 Data Export</w:t>
      </w:r>
    </w:p>
    <w:p>
      <w:pPr>
        <w:pStyle w:val="ListParagraph"/>
        <w:numPr>
          <w:ilvl w:val="0"/>
          <w:numId w:val="2"/>
        </w:numPr>
        <w:spacing w:after="60" w:before="60"/>
      </w:pPr>
      <w:r>
        <w:rPr>
          <w:rFonts w:ascii="Arial" w:cs="Arial" w:eastAsia="Arial" w:hAnsi="Arial"/>
          <w:sz w:val="22"/>
          <w:szCs w:val="22"/>
        </w:rPr>
        <w:t xml:space="preserve">CSV file: one row per trial. Columns: Trial Number, Stimulus Location, Response, Angular Error (degrees), Response Time (seconds).</w:t>
      </w:r>
    </w:p>
    <w:p>
      <w:pPr>
        <w:pStyle w:val="ListParagraph"/>
        <w:numPr>
          <w:ilvl w:val="0"/>
          <w:numId w:val="2"/>
        </w:numPr>
        <w:spacing w:after="60" w:before="60"/>
      </w:pPr>
      <w:r>
        <w:rPr>
          <w:rFonts w:ascii="Arial" w:cs="Arial" w:eastAsia="Arial" w:hAnsi="Arial"/>
          <w:sz w:val="22"/>
          <w:szCs w:val="22"/>
        </w:rPr>
        <w:t xml:space="preserve">Figures: both heatmaps saved as .png files.</w:t>
      </w:r>
    </w:p>
    <w:p>
      <w:pPr>
        <w:pStyle w:val="ListParagraph"/>
        <w:numPr>
          <w:ilvl w:val="0"/>
          <w:numId w:val="2"/>
        </w:numPr>
        <w:spacing w:after="60" w:before="60"/>
      </w:pPr>
      <w:r>
        <w:rPr>
          <w:rFonts w:ascii="Arial" w:cs="Arial" w:eastAsia="Arial" w:hAnsi="Arial"/>
          <w:sz w:val="22"/>
          <w:szCs w:val="22"/>
        </w:rPr>
        <w:t xml:space="preserve">All files saved to results/ using the session filename (SubjectID_YYYYMMDD_HHMMSS).</w:t>
      </w:r>
    </w:p>
    <w:p>
      <w:r>
        <w:t xml:space="preserve"/>
      </w:r>
    </w:p>
    <w:p>
      <w:pPr>
        <w:pStyle w:val="Heading1"/>
        <w:spacing w:after="120" w:before="320"/>
      </w:pPr>
      <w:r>
        <w:rPr>
          <w:rFonts w:ascii="Arial" w:cs="Arial" w:eastAsia="Arial" w:hAnsi="Arial"/>
          <w:b/>
          <w:bCs/>
          <w:color w:val="1A7B8A"/>
          <w:sz w:val="28"/>
          <w:szCs w:val="28"/>
        </w:rPr>
        <w:t xml:space="preserve">7. Code Standards</w:t>
      </w:r>
    </w:p>
    <w:p>
      <w:pPr>
        <w:pStyle w:val="ListParagraph"/>
        <w:numPr>
          <w:ilvl w:val="0"/>
          <w:numId w:val="2"/>
        </w:numPr>
        <w:spacing w:after="60" w:before="60"/>
      </w:pPr>
      <w:r>
        <w:rPr>
          <w:rFonts w:ascii="Arial" w:cs="Arial" w:eastAsia="Arial" w:hAnsi="Arial"/>
          <w:sz w:val="22"/>
          <w:szCs w:val="22"/>
        </w:rPr>
        <w:t xml:space="preserve">Highly readable: clear variable names, logical structure, generous section headers and inline comments.</w:t>
      </w:r>
    </w:p>
    <w:p>
      <w:pPr>
        <w:pStyle w:val="ListParagraph"/>
        <w:numPr>
          <w:ilvl w:val="0"/>
          <w:numId w:val="2"/>
        </w:numPr>
        <w:spacing w:after="60" w:before="60"/>
      </w:pPr>
      <w:r>
        <w:rPr>
          <w:rFonts w:ascii="Arial" w:cs="Arial" w:eastAsia="Arial" w:hAnsi="Arial"/>
          <w:sz w:val="22"/>
          <w:szCs w:val="22"/>
        </w:rPr>
        <w:t xml:space="preserve">Physics/acoustics-forward: comments explain the perceptual and acoustic meaning of equations and parameters.</w:t>
      </w:r>
    </w:p>
    <w:p>
      <w:pPr>
        <w:pStyle w:val="ListParagraph"/>
        <w:numPr>
          <w:ilvl w:val="0"/>
          <w:numId w:val="2"/>
        </w:numPr>
        <w:spacing w:after="60" w:before="60"/>
      </w:pPr>
      <w:r>
        <w:rPr>
          <w:rFonts w:ascii="Arial" w:cs="Arial" w:eastAsia="Arial" w:hAnsi="Arial"/>
          <w:sz w:val="22"/>
          <w:szCs w:val="22"/>
        </w:rPr>
        <w:t xml:space="preserve">Efficient: vectorized operations where appropriate; no redundant computation.</w:t>
      </w:r>
    </w:p>
    <w:p>
      <w:pPr>
        <w:pStyle w:val="ListParagraph"/>
        <w:numPr>
          <w:ilvl w:val="0"/>
          <w:numId w:val="2"/>
        </w:numPr>
        <w:spacing w:after="60" w:before="60"/>
      </w:pPr>
      <w:r>
        <w:rPr>
          <w:rFonts w:ascii="Arial" w:cs="Arial" w:eastAsia="Arial" w:hAnsi="Arial"/>
          <w:sz w:val="22"/>
          <w:szCs w:val="22"/>
        </w:rPr>
        <w:t xml:space="preserve">Accessible: a reader with minimal software experience should be able to follow the code.</w:t>
      </w:r>
    </w:p>
    <w:p>
      <w:r>
        <w:t xml:space="preserve"/>
      </w:r>
    </w:p>
    <w:p>
      <w:r>
        <w:rPr>
          <w:rFonts w:ascii="Arial" w:cs="Arial" w:eastAsia="Arial" w:hAnsi="Arial"/>
          <w:i/>
          <w:iCs/>
          <w:color w:val="888888"/>
          <w:sz w:val="20"/>
          <w:szCs w:val="20"/>
        </w:rPr>
        <w:t xml:space="preserve">Document status: Awaiting user approval before implementation begins.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2026-04-13T19:53:45.898Z</dcterms:created>
  <dcterms:modified xsi:type="dcterms:W3CDTF">2026-04-13T19:53:45.899Z</dcterms:modified>
</cp:coreProperties>
</file>

<file path=docProps/custom.xml><?xml version="1.0" encoding="utf-8"?>
<Properties xmlns="http://schemas.openxmlformats.org/officeDocument/2006/custom-properties" xmlns:vt="http://schemas.openxmlformats.org/officeDocument/2006/docPropsVTypes"/>
</file>