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Enterprise Case Management System</w:t>
      </w:r>
    </w:p>
    <w:p>
      <w:pPr>
        <w:pStyle w:val="Heading1"/>
        <w:spacing w:after="400"/>
        <w:jc w:val="center"/>
      </w:pPr>
      <w:r>
        <w:t xml:space="preserve">Request for Technology (RFT)</w:t>
      </w:r>
    </w:p>
    <w:p>
      <w:pPr>
        <w:spacing w:after="800"/>
        <w:jc w:val="center"/>
      </w:pPr>
      <w:r>
        <w:t xml:space="preserve">Generated: 11/26/2025</w:t>
      </w:r>
    </w:p>
    <w:p>
      <w:pPr>
        <w:pStyle w:val="Heading1"/>
        <w:spacing w:before="400" w:after="200"/>
      </w:pPr>
      <w:r>
        <w:t xml:space="preserve">Product Requirements</w:t>
      </w:r>
    </w:p>
    <w:p>
      <w:pPr>
        <w:pStyle w:val="Heading4"/>
        <w:spacing w:before="200" w:after="150"/>
      </w:pPr>
      <w:r>
        <w:t xml:space="preserve">Product Requirements for Enterprise Case Management System</w:t>
      </w:r>
    </w:p>
    <w:p>
      <w:pPr>
        <w:pStyle w:val="Heading5"/>
        <w:spacing w:before="200" w:after="150"/>
      </w:pPr>
      <w:r>
        <w:t xml:space="preserve">1. Functional Requirements</w:t>
      </w:r>
    </w:p>
    <w:p>
      <w:pPr>
        <w:spacing w:after="200"/>
      </w:pPr>
      <w:r>
        <w:rPr>
          <w:b/>
          <w:bCs/>
        </w:rPr>
        <w:t xml:space="preserve">Core Product Capabilities:</w:t>
      </w:r>
    </w:p>
    <w:p>
      <w:pPr>
        <w:pStyle w:val="ListParagraph"/>
        <w:numPr>
          <w:ilvl w:val="0"/>
          <w:numId w:val="1"/>
        </w:numPr>
        <w:spacing w:after="100"/>
      </w:pPr>
      <w:r>
        <w:rPr>
          <w:b/>
          <w:bCs/>
        </w:rPr>
        <w:t xml:space="preserve">Unified Case Management:</w:t>
      </w:r>
      <w:r>
        <w:t xml:space="preserve"> Ability to centralize and streamline case management for diverse case types including complaints, service requests, regulatory inquiries, refund claims, and internal investigations. Provide a unified inbox and case queue for customer service agents.</w:t>
      </w:r>
    </w:p>
    <w:p>
      <w:pPr>
        <w:pStyle w:val="ListParagraph"/>
        <w:numPr>
          <w:ilvl w:val="0"/>
          <w:numId w:val="1"/>
        </w:numPr>
        <w:spacing w:after="100"/>
      </w:pPr>
      <w:r>
        <w:rPr>
          <w:b/>
          <w:bCs/>
        </w:rPr>
        <w:t xml:space="preserve">Workflow Automation:</w:t>
      </w:r>
      <w:r>
        <w:t xml:space="preserve"> Provide configurable workflows for case routing, approvals, escalations, and automated actions to reduce manual interventions and improve SLA compliance.</w:t>
      </w:r>
    </w:p>
    <w:p>
      <w:pPr>
        <w:pStyle w:val="ListParagraph"/>
        <w:numPr>
          <w:ilvl w:val="0"/>
          <w:numId w:val="1"/>
        </w:numPr>
        <w:spacing w:after="100"/>
      </w:pPr>
      <w:r>
        <w:rPr>
          <w:b/>
          <w:bCs/>
        </w:rPr>
        <w:t xml:space="preserve">SLA Management:</w:t>
      </w:r>
      <w:r>
        <w:t xml:space="preserve"> Enable SLA configurations for response and resolution targets by case type, priority, and customer segment. Support proactive notifications for SLA breaches.</w:t>
      </w:r>
    </w:p>
    <w:p>
      <w:pPr>
        <w:pStyle w:val="ListParagraph"/>
        <w:numPr>
          <w:ilvl w:val="0"/>
          <w:numId w:val="1"/>
        </w:numPr>
        <w:spacing w:after="100"/>
      </w:pPr>
      <w:r>
        <w:rPr>
          <w:b/>
          <w:bCs/>
        </w:rPr>
        <w:t xml:space="preserve">Knowledge Base Integration:</w:t>
      </w:r>
      <w:r>
        <w:t xml:space="preserve"> Integrated knowledge base for agents with resolution guidance, FAQs, and standard operating procedures.</w:t>
      </w:r>
    </w:p>
    <w:p>
      <w:pPr>
        <w:pStyle w:val="ListParagraph"/>
        <w:numPr>
          <w:ilvl w:val="0"/>
          <w:numId w:val="1"/>
        </w:numPr>
        <w:spacing w:after="100"/>
      </w:pPr>
      <w:r>
        <w:rPr>
          <w:b/>
          <w:bCs/>
        </w:rPr>
        <w:t xml:space="preserve">Omnichannel Support:</w:t>
      </w:r>
      <w:r>
        <w:t xml:space="preserve"> Seamless handling of cases originating from phone, email, chat, social media, and customer portal.</w:t>
      </w:r>
    </w:p>
    <w:p>
      <w:pPr>
        <w:pStyle w:val="ListParagraph"/>
        <w:numPr>
          <w:ilvl w:val="0"/>
          <w:numId w:val="1"/>
        </w:numPr>
        <w:spacing w:after="100"/>
      </w:pPr>
      <w:r>
        <w:rPr>
          <w:b/>
          <w:bCs/>
        </w:rPr>
        <w:t xml:space="preserve">Customer Self-Service Portal:</w:t>
      </w:r>
      <w:r>
        <w:t xml:space="preserve"> Allow passengers to submit cases, track status, upload documents, and receive updates independently.</w:t>
      </w:r>
    </w:p>
    <w:p>
      <w:pPr>
        <w:pStyle w:val="ListParagraph"/>
        <w:numPr>
          <w:ilvl w:val="0"/>
          <w:numId w:val="1"/>
        </w:numPr>
        <w:spacing w:after="100"/>
      </w:pPr>
      <w:r>
        <w:rPr>
          <w:b/>
          <w:bCs/>
        </w:rPr>
        <w:t xml:space="preserve">Mobile App:</w:t>
      </w:r>
      <w:r>
        <w:t xml:space="preserve"> Enable field staff and managers to view, update, and monitor cases in real-time while traveling or at airports.</w:t>
      </w:r>
    </w:p>
    <w:p>
      <w:pPr>
        <w:pStyle w:val="ListParagraph"/>
        <w:numPr>
          <w:ilvl w:val="0"/>
          <w:numId w:val="1"/>
        </w:numPr>
        <w:spacing w:after="100"/>
      </w:pPr>
      <w:r>
        <w:rPr>
          <w:b/>
          <w:bCs/>
        </w:rPr>
        <w:t xml:space="preserve">Management Dashboards:</w:t>
      </w:r>
      <w:r>
        <w:t xml:space="preserve"> Provide real-time visibility into case volumes, SLA compliance, agent productivity, and customer satisfaction metrics.</w:t>
      </w:r>
    </w:p>
    <w:p>
      <w:pPr>
        <w:spacing w:after="200"/>
      </w:pPr>
      <w:r>
        <w:rPr>
          <w:b/>
          <w:bCs/>
        </w:rPr>
        <w:t xml:space="preserve">User Experience and Accessibility:</w:t>
      </w:r>
    </w:p>
    <w:p>
      <w:pPr>
        <w:pStyle w:val="ListParagraph"/>
        <w:numPr>
          <w:ilvl w:val="0"/>
          <w:numId w:val="1"/>
        </w:numPr>
        <w:spacing w:after="100"/>
      </w:pPr>
      <w:r>
        <w:t xml:space="preserve">Design with a customer-centric perspective, ensuring intuitive navigation and usability for diverse user groups.</w:t>
      </w:r>
    </w:p>
    <w:p>
      <w:pPr>
        <w:pStyle w:val="ListParagraph"/>
        <w:numPr>
          <w:ilvl w:val="0"/>
          <w:numId w:val="1"/>
        </w:numPr>
        <w:spacing w:after="100"/>
      </w:pPr>
      <w:r>
        <w:t xml:space="preserve">Adhere to Emirates Accessibility Policy for inclusivity.</w:t>
      </w:r>
    </w:p>
    <w:p>
      <w:pPr>
        <w:pStyle w:val="ListParagraph"/>
        <w:numPr>
          <w:ilvl w:val="0"/>
          <w:numId w:val="1"/>
        </w:numPr>
        <w:spacing w:after="100"/>
      </w:pPr>
      <w:r>
        <w:t xml:space="preserve">Support omnichannel consistency for seamless experiences across touchpoints.</w:t>
      </w:r>
    </w:p>
    <w:p>
      <w:pPr>
        <w:spacing w:after="200"/>
      </w:pPr>
      <w:r>
        <w:rPr>
          <w:b/>
          <w:bCs/>
        </w:rPr>
        <w:t xml:space="preserve">Integration with Existing Systems:</w:t>
      </w:r>
    </w:p>
    <w:p>
      <w:pPr>
        <w:pStyle w:val="ListParagraph"/>
        <w:numPr>
          <w:ilvl w:val="0"/>
          <w:numId w:val="1"/>
        </w:numPr>
        <w:spacing w:after="100"/>
      </w:pPr>
      <w:r>
        <w:rPr>
          <w:b/>
          <w:bCs/>
        </w:rPr>
        <w:t xml:space="preserve">CRM Integration:</w:t>
      </w:r>
      <w:r>
        <w:t xml:space="preserve"> Unified customer profiles, interaction history, and 360-degree view of passenger relationships through Salesforce.</w:t>
      </w:r>
    </w:p>
    <w:p>
      <w:pPr>
        <w:pStyle w:val="ListParagraph"/>
        <w:numPr>
          <w:ilvl w:val="0"/>
          <w:numId w:val="1"/>
        </w:numPr>
        <w:spacing w:after="100"/>
      </w:pPr>
      <w:r>
        <w:rPr>
          <w:b/>
          <w:bCs/>
        </w:rPr>
        <w:t xml:space="preserve">PSS Integration:</w:t>
      </w:r>
      <w:r>
        <w:t xml:space="preserve"> Access to booking details, flight history, and service recovery actions from Amadeus Altea.</w:t>
      </w:r>
    </w:p>
    <w:p>
      <w:pPr>
        <w:pStyle w:val="ListParagraph"/>
        <w:numPr>
          <w:ilvl w:val="0"/>
          <w:numId w:val="1"/>
        </w:numPr>
        <w:spacing w:after="100"/>
      </w:pPr>
      <w:r>
        <w:rPr>
          <w:b/>
          <w:bCs/>
        </w:rPr>
        <w:t xml:space="preserve">Revenue Accounting System Integration:</w:t>
      </w:r>
      <w:r>
        <w:t xml:space="preserve"> Automate refund processing, compensation calculations, and financial adjustments.</w:t>
      </w:r>
    </w:p>
    <w:p>
      <w:pPr>
        <w:pStyle w:val="ListParagraph"/>
        <w:numPr>
          <w:ilvl w:val="0"/>
          <w:numId w:val="1"/>
        </w:numPr>
        <w:spacing w:after="100"/>
      </w:pPr>
      <w:r>
        <w:rPr>
          <w:b/>
          <w:bCs/>
        </w:rPr>
        <w:t xml:space="preserve">Document Management Integration:</w:t>
      </w:r>
      <w:r>
        <w:t xml:space="preserve"> Manage case-related documents and correspondence templates via SharePoint.</w:t>
      </w:r>
    </w:p>
    <w:p>
      <w:pPr>
        <w:pStyle w:val="ListParagraph"/>
        <w:numPr>
          <w:ilvl w:val="0"/>
          <w:numId w:val="1"/>
        </w:numPr>
        <w:spacing w:after="100"/>
      </w:pPr>
      <w:r>
        <w:rPr>
          <w:b/>
          <w:bCs/>
        </w:rPr>
        <w:t xml:space="preserve">Email Gateway Integration:</w:t>
      </w:r>
      <w:r>
        <w:t xml:space="preserve"> Support inbound email parsing and outbound notifications through Microsoft 365 and SendGrid.</w:t>
      </w:r>
    </w:p>
    <w:p>
      <w:pPr>
        <w:pStyle w:val="ListParagraph"/>
        <w:numPr>
          <w:ilvl w:val="0"/>
          <w:numId w:val="1"/>
        </w:numPr>
        <w:spacing w:after="100"/>
      </w:pPr>
      <w:r>
        <w:rPr>
          <w:b/>
          <w:bCs/>
        </w:rPr>
        <w:t xml:space="preserve">Social Media Platform Integration:</w:t>
      </w:r>
      <w:r>
        <w:t xml:space="preserve"> Enable case ingestion and responses for social media cases via Sprinklr.</w:t>
      </w:r>
    </w:p>
    <w:p>
      <w:pPr>
        <w:pStyle w:val="ListParagraph"/>
        <w:numPr>
          <w:ilvl w:val="0"/>
          <w:numId w:val="1"/>
        </w:numPr>
        <w:spacing w:after="100"/>
      </w:pPr>
      <w:r>
        <w:rPr>
          <w:b/>
          <w:bCs/>
        </w:rPr>
        <w:t xml:space="preserve">Telephony System Integration:</w:t>
      </w:r>
      <w:r>
        <w:t xml:space="preserve"> Include call recordings, IVR logs, and agent screen-pop functionality through Genesys.</w:t>
      </w:r>
    </w:p>
    <w:p>
      <w:pPr>
        <w:pStyle w:val="ListParagraph"/>
        <w:numPr>
          <w:ilvl w:val="0"/>
          <w:numId w:val="1"/>
        </w:numPr>
        <w:spacing w:after="100"/>
      </w:pPr>
      <w:r>
        <w:rPr>
          <w:b/>
          <w:bCs/>
        </w:rPr>
        <w:t xml:space="preserve">Regulatory Portal Integration:</w:t>
      </w:r>
      <w:r>
        <w:t xml:space="preserve"> Ensure electronic submissions for aviation authority inquiries.</w:t>
      </w:r>
    </w:p>
    <w:p>
      <w:pPr>
        <w:pStyle w:val="Heading5"/>
        <w:spacing w:before="200" w:after="150"/>
      </w:pPr>
      <w:r>
        <w:t xml:space="preserve">2. Industry Standards &amp; Compliance</w:t>
      </w:r>
    </w:p>
    <w:p>
      <w:pPr>
        <w:spacing w:after="200"/>
      </w:pPr>
      <w:r>
        <w:rPr>
          <w:b/>
          <w:bCs/>
        </w:rPr>
        <w:t xml:space="preserve">Relevant Standards:</w:t>
      </w:r>
    </w:p>
    <w:p>
      <w:pPr>
        <w:pStyle w:val="ListParagraph"/>
        <w:numPr>
          <w:ilvl w:val="0"/>
          <w:numId w:val="1"/>
        </w:numPr>
        <w:spacing w:after="100"/>
      </w:pPr>
      <w:r>
        <w:rPr>
          <w:b/>
          <w:bCs/>
        </w:rPr>
        <w:t xml:space="preserve">GDPR and PCI-DSS:</w:t>
      </w:r>
      <w:r>
        <w:t xml:space="preserve"> Ensure compliance with data privacy, security, and protection standards while handling customer data.</w:t>
      </w:r>
    </w:p>
    <w:p>
      <w:pPr>
        <w:pStyle w:val="ListParagraph"/>
        <w:numPr>
          <w:ilvl w:val="0"/>
          <w:numId w:val="1"/>
        </w:numPr>
        <w:spacing w:after="100"/>
      </w:pPr>
      <w:r>
        <w:rPr>
          <w:b/>
          <w:bCs/>
        </w:rPr>
        <w:t xml:space="preserve">Regulatory Compliance:</w:t>
      </w:r>
      <w:r>
        <w:t xml:space="preserve"> Adhere to aviation authority requirements (CAA, EASA, etc.) for tracking, reporting, and response deadlines.</w:t>
      </w:r>
    </w:p>
    <w:p>
      <w:pPr>
        <w:pStyle w:val="ListParagraph"/>
        <w:numPr>
          <w:ilvl w:val="0"/>
          <w:numId w:val="1"/>
        </w:numPr>
        <w:spacing w:after="100"/>
      </w:pPr>
      <w:r>
        <w:rPr>
          <w:b/>
          <w:bCs/>
        </w:rPr>
        <w:t xml:space="preserve">Accessibility Standards:</w:t>
      </w:r>
      <w:r>
        <w:t xml:space="preserve"> Meet Emirates Accessibility Policy for inclusive designs.</w:t>
      </w:r>
    </w:p>
    <w:p>
      <w:pPr>
        <w:spacing w:after="200"/>
      </w:pPr>
      <w:r>
        <w:rPr>
          <w:b/>
          <w:bCs/>
        </w:rPr>
        <w:t xml:space="preserve">Best Practices:</w:t>
      </w:r>
    </w:p>
    <w:p>
      <w:pPr>
        <w:pStyle w:val="ListParagraph"/>
        <w:numPr>
          <w:ilvl w:val="0"/>
          <w:numId w:val="1"/>
        </w:numPr>
        <w:spacing w:after="100"/>
      </w:pPr>
      <w:r>
        <w:t xml:space="preserve">Implement comprehensive audit trails for all case records and communications.</w:t>
      </w:r>
    </w:p>
    <w:p>
      <w:pPr>
        <w:pStyle w:val="ListParagraph"/>
        <w:numPr>
          <w:ilvl w:val="0"/>
          <w:numId w:val="1"/>
        </w:numPr>
        <w:spacing w:after="100"/>
      </w:pPr>
      <w:r>
        <w:t xml:space="preserve">Ensure designs follow modern modular architecture principles (e.g., microservices and API-driven).</w:t>
      </w:r>
    </w:p>
    <w:p>
      <w:pPr>
        <w:pStyle w:val="ListParagraph"/>
        <w:numPr>
          <w:ilvl w:val="0"/>
          <w:numId w:val="1"/>
        </w:numPr>
        <w:spacing w:after="100"/>
      </w:pPr>
      <w:r>
        <w:t xml:space="preserve">Use standardized protocols (e.g., HTTPS, TCP/IP) for secure and reliable integrations.</w:t>
      </w:r>
    </w:p>
    <w:p>
      <w:pPr>
        <w:pStyle w:val="Heading5"/>
        <w:spacing w:before="200" w:after="150"/>
      </w:pPr>
      <w:r>
        <w:t xml:space="preserve">3. Feature Completeness Criteria</w:t>
      </w:r>
    </w:p>
    <w:p>
      <w:pPr>
        <w:spacing w:after="200"/>
      </w:pPr>
      <w:r>
        <w:rPr>
          <w:b/>
          <w:bCs/>
        </w:rPr>
        <w:t xml:space="preserve">Must-Have Features:</w:t>
      </w:r>
    </w:p>
    <w:p>
      <w:pPr>
        <w:pStyle w:val="ListParagraph"/>
        <w:numPr>
          <w:ilvl w:val="0"/>
          <w:numId w:val="1"/>
        </w:numPr>
        <w:spacing w:after="100"/>
      </w:pPr>
      <w:r>
        <w:t xml:space="preserve">Unified case management platform with omnichannel support and SLA tracking.</w:t>
      </w:r>
    </w:p>
    <w:p>
      <w:pPr>
        <w:pStyle w:val="ListParagraph"/>
        <w:numPr>
          <w:ilvl w:val="0"/>
          <w:numId w:val="1"/>
        </w:numPr>
        <w:spacing w:after="100"/>
      </w:pPr>
      <w:r>
        <w:t xml:space="preserve">Workflow automation and AI-powered case categorization.</w:t>
      </w:r>
    </w:p>
    <w:p>
      <w:pPr>
        <w:pStyle w:val="ListParagraph"/>
        <w:numPr>
          <w:ilvl w:val="0"/>
          <w:numId w:val="1"/>
        </w:numPr>
        <w:spacing w:after="100"/>
      </w:pPr>
      <w:r>
        <w:t xml:space="preserve">Integration with enterprise systems including CRM, PSS, and document management.</w:t>
      </w:r>
    </w:p>
    <w:p>
      <w:pPr>
        <w:pStyle w:val="ListParagraph"/>
        <w:numPr>
          <w:ilvl w:val="0"/>
          <w:numId w:val="1"/>
        </w:numPr>
        <w:spacing w:after="100"/>
      </w:pPr>
      <w:r>
        <w:t xml:space="preserve">Management dashboards and reporting tools for case analytics.</w:t>
      </w:r>
    </w:p>
    <w:p>
      <w:pPr>
        <w:pStyle w:val="ListParagraph"/>
        <w:numPr>
          <w:ilvl w:val="0"/>
          <w:numId w:val="1"/>
        </w:numPr>
        <w:spacing w:after="100"/>
      </w:pPr>
      <w:r>
        <w:t xml:space="preserve">Secure and scalable architecture with data privacy compliance.</w:t>
      </w:r>
    </w:p>
    <w:p>
      <w:pPr>
        <w:spacing w:after="200"/>
      </w:pPr>
      <w:r>
        <w:rPr>
          <w:b/>
          <w:bCs/>
        </w:rPr>
        <w:t xml:space="preserve">Nice-to-Have Features:</w:t>
      </w:r>
    </w:p>
    <w:p>
      <w:pPr>
        <w:pStyle w:val="ListParagraph"/>
        <w:numPr>
          <w:ilvl w:val="0"/>
          <w:numId w:val="1"/>
        </w:numPr>
        <w:spacing w:after="100"/>
      </w:pPr>
      <w:r>
        <w:t xml:space="preserve">AI/ML-driven case prioritization based on customer lifetime value and loyalty tier.</w:t>
      </w:r>
    </w:p>
    <w:p>
      <w:pPr>
        <w:pStyle w:val="ListParagraph"/>
        <w:numPr>
          <w:ilvl w:val="0"/>
          <w:numId w:val="1"/>
        </w:numPr>
        <w:spacing w:after="100"/>
      </w:pPr>
      <w:r>
        <w:t xml:space="preserve">Immersive engagement modes (e.g., AR/VR) for customer-facing tools.</w:t>
      </w:r>
    </w:p>
    <w:p>
      <w:pPr>
        <w:pStyle w:val="ListParagraph"/>
        <w:numPr>
          <w:ilvl w:val="0"/>
          <w:numId w:val="1"/>
        </w:numPr>
        <w:spacing w:after="100"/>
      </w:pPr>
      <w:r>
        <w:t xml:space="preserve">Advanced natural language processing for intelligent chat and email case handling.</w:t>
      </w:r>
    </w:p>
    <w:p>
      <w:pPr>
        <w:spacing w:after="200"/>
      </w:pPr>
      <w:r>
        <w:rPr>
          <w:b/>
          <w:bCs/>
        </w:rPr>
        <w:t xml:space="preserve">Benchmarks:</w:t>
      </w:r>
    </w:p>
    <w:p>
      <w:pPr>
        <w:pStyle w:val="ListParagraph"/>
        <w:numPr>
          <w:ilvl w:val="0"/>
          <w:numId w:val="1"/>
        </w:numPr>
        <w:spacing w:after="100"/>
      </w:pPr>
      <w:r>
        <w:t xml:space="preserve">Resolution time reduced to 5 days (industry benchmark).</w:t>
      </w:r>
    </w:p>
    <w:p>
      <w:pPr>
        <w:pStyle w:val="ListParagraph"/>
        <w:numPr>
          <w:ilvl w:val="0"/>
          <w:numId w:val="1"/>
        </w:numPr>
        <w:spacing w:after="100"/>
      </w:pPr>
      <w:r>
        <w:t xml:space="preserve">SLA compliance improved to 95%.</w:t>
      </w:r>
    </w:p>
    <w:p>
      <w:pPr>
        <w:pStyle w:val="ListParagraph"/>
        <w:numPr>
          <w:ilvl w:val="0"/>
          <w:numId w:val="1"/>
        </w:numPr>
        <w:spacing w:after="100"/>
      </w:pPr>
      <w:r>
        <w:t xml:space="preserve">Customer satisfaction score increased to 90%.</w:t>
      </w:r>
    </w:p>
    <w:p>
      <w:pPr>
        <w:pStyle w:val="Heading5"/>
        <w:spacing w:before="200" w:after="150"/>
      </w:pPr>
      <w:r>
        <w:t xml:space="preserve">4. Integration &amp; Interoperability</w:t>
      </w:r>
    </w:p>
    <w:p>
      <w:pPr>
        <w:spacing w:after="200"/>
      </w:pPr>
      <w:r>
        <w:rPr>
          <w:b/>
          <w:bCs/>
        </w:rPr>
        <w:t xml:space="preserve">API Requirements:</w:t>
      </w:r>
    </w:p>
    <w:p>
      <w:pPr>
        <w:pStyle w:val="ListParagraph"/>
        <w:numPr>
          <w:ilvl w:val="0"/>
          <w:numId w:val="1"/>
        </w:numPr>
        <w:spacing w:after="100"/>
      </w:pPr>
      <w:r>
        <w:t xml:space="preserve">Provide RESTful APIs with comprehensive documentation for seamless integration.</w:t>
      </w:r>
    </w:p>
    <w:p>
      <w:pPr>
        <w:pStyle w:val="ListParagraph"/>
        <w:numPr>
          <w:ilvl w:val="0"/>
          <w:numId w:val="1"/>
        </w:numPr>
        <w:spacing w:after="100"/>
      </w:pPr>
      <w:r>
        <w:t xml:space="preserve">Ensure compatibility with established data exchange protocols and formats.</w:t>
      </w:r>
    </w:p>
    <w:p>
      <w:pPr>
        <w:pStyle w:val="ListParagraph"/>
        <w:numPr>
          <w:ilvl w:val="0"/>
          <w:numId w:val="1"/>
        </w:numPr>
        <w:spacing w:after="100"/>
      </w:pPr>
      <w:r>
        <w:t xml:space="preserve">Support real-time data sharing with the Enterprise Data Platform (EDP) as per organizational standards.</w:t>
      </w:r>
    </w:p>
    <w:p>
      <w:pPr>
        <w:spacing w:after="200"/>
      </w:pPr>
      <w:r>
        <w:rPr>
          <w:b/>
          <w:bCs/>
        </w:rPr>
        <w:t xml:space="preserve">Third-Party Integrations:</w:t>
      </w:r>
    </w:p>
    <w:p>
      <w:pPr>
        <w:pStyle w:val="ListParagraph"/>
        <w:numPr>
          <w:ilvl w:val="0"/>
          <w:numId w:val="1"/>
        </w:numPr>
        <w:spacing w:after="100"/>
      </w:pPr>
      <w:r>
        <w:t xml:space="preserve">Ensure readiness for integration with third-party tools such as Sprinklr, Genesys, and SendGrid.</w:t>
      </w:r>
    </w:p>
    <w:p>
      <w:pPr>
        <w:pStyle w:val="ListParagraph"/>
        <w:numPr>
          <w:ilvl w:val="0"/>
          <w:numId w:val="1"/>
        </w:numPr>
        <w:spacing w:after="100"/>
      </w:pPr>
      <w:r>
        <w:t xml:space="preserve">Provide programmable controls and APIs for infrastructure technologies.</w:t>
      </w:r>
    </w:p>
    <w:p>
      <w:pPr>
        <w:spacing w:after="200"/>
      </w:pPr>
      <w:r>
        <w:rPr>
          <w:b/>
          <w:bCs/>
        </w:rPr>
        <w:t xml:space="preserve">Data Exchange Standards:</w:t>
      </w:r>
    </w:p>
    <w:p>
      <w:pPr>
        <w:pStyle w:val="ListParagraph"/>
        <w:numPr>
          <w:ilvl w:val="0"/>
          <w:numId w:val="1"/>
        </w:numPr>
        <w:spacing w:after="100"/>
      </w:pPr>
      <w:r>
        <w:t xml:space="preserve">Use standard formats like JSON or XML for data transfer.</w:t>
      </w:r>
    </w:p>
    <w:p>
      <w:pPr>
        <w:pStyle w:val="ListParagraph"/>
        <w:numPr>
          <w:ilvl w:val="0"/>
          <w:numId w:val="1"/>
        </w:numPr>
        <w:spacing w:after="100"/>
      </w:pPr>
      <w:r>
        <w:t xml:space="preserve">Adhere to SLA-based data integration policies with EDP.</w:t>
      </w:r>
    </w:p>
    <w:p>
      <w:pPr>
        <w:pStyle w:val="Heading5"/>
        <w:spacing w:before="200" w:after="150"/>
      </w:pPr>
      <w:r>
        <w:t xml:space="preserve">5. Product Roadmap &amp; Innovation</w:t>
      </w:r>
    </w:p>
    <w:p>
      <w:pPr>
        <w:spacing w:after="200"/>
      </w:pPr>
      <w:r>
        <w:rPr>
          <w:b/>
          <w:bCs/>
        </w:rPr>
        <w:t xml:space="preserve">Future-Proofing:</w:t>
      </w:r>
    </w:p>
    <w:p>
      <w:pPr>
        <w:pStyle w:val="ListParagraph"/>
        <w:numPr>
          <w:ilvl w:val="0"/>
          <w:numId w:val="1"/>
        </w:numPr>
        <w:spacing w:after="100"/>
      </w:pPr>
      <w:r>
        <w:t xml:space="preserve">Ensure scalability and adaptability to evolving business needs and case volumes.</w:t>
      </w:r>
    </w:p>
    <w:p>
      <w:pPr>
        <w:pStyle w:val="ListParagraph"/>
        <w:numPr>
          <w:ilvl w:val="0"/>
          <w:numId w:val="1"/>
        </w:numPr>
        <w:spacing w:after="100"/>
      </w:pPr>
      <w:r>
        <w:t xml:space="preserve">Support modular architecture for incremental feature development.</w:t>
      </w:r>
    </w:p>
    <w:p>
      <w:pPr>
        <w:spacing w:after="200"/>
      </w:pPr>
      <w:r>
        <w:rPr>
          <w:b/>
          <w:bCs/>
        </w:rPr>
        <w:t xml:space="preserve">Technology Evolution:</w:t>
      </w:r>
    </w:p>
    <w:p>
      <w:pPr>
        <w:pStyle w:val="ListParagraph"/>
        <w:numPr>
          <w:ilvl w:val="0"/>
          <w:numId w:val="1"/>
        </w:numPr>
        <w:spacing w:after="100"/>
      </w:pPr>
      <w:r>
        <w:t xml:space="preserve">Incorporate AI/ML capabilities for intelligent case handling and customer insights.</w:t>
      </w:r>
    </w:p>
    <w:p>
      <w:pPr>
        <w:pStyle w:val="ListParagraph"/>
        <w:numPr>
          <w:ilvl w:val="0"/>
          <w:numId w:val="1"/>
        </w:numPr>
        <w:spacing w:after="100"/>
      </w:pPr>
      <w:r>
        <w:t xml:space="preserve">Explore emerging technologies such as IoT and immersive engagement modes.</w:t>
      </w:r>
    </w:p>
    <w:p>
      <w:pPr>
        <w:spacing w:after="200"/>
      </w:pPr>
      <w:r>
        <w:rPr>
          <w:b/>
          <w:bCs/>
        </w:rPr>
        <w:t xml:space="preserve">Alignment with Organizational Standards:</w:t>
      </w:r>
    </w:p>
    <w:p>
      <w:pPr>
        <w:pStyle w:val="ListParagraph"/>
        <w:numPr>
          <w:ilvl w:val="0"/>
          <w:numId w:val="1"/>
        </w:numPr>
        <w:spacing w:after="100"/>
      </w:pPr>
      <w:r>
        <w:t xml:space="preserve">Adhere to Emirates Architecture Principles including evolutionary design, operational excellence, and ethical AI usage.</w:t>
      </w:r>
    </w:p>
    <w:p>
      <w:pPr>
        <w:pStyle w:val="ListParagraph"/>
        <w:numPr>
          <w:ilvl w:val="0"/>
          <w:numId w:val="1"/>
        </w:numPr>
        <w:spacing w:after="100"/>
      </w:pPr>
      <w:r>
        <w:t xml:space="preserve">Ensure compliance with resiliency, observability, and elasticity requirements.</w:t>
      </w:r>
    </w:p>
    <w:p>
      <w:pPr>
        <w:pStyle w:val="Heading5"/>
        <w:spacing w:before="200" w:after="150"/>
      </w:pPr>
      <w:r>
        <w:t xml:space="preserve">Questions for Vendors</w:t>
      </w:r>
    </w:p>
    <w:p>
      <w:pPr>
        <w:spacing w:after="100"/>
        <w:ind w:left="720"/>
      </w:pPr>
      <w:r>
        <w:rPr>
          <w:b w:val="false"/>
          <w:bCs w:val="false"/>
        </w:rPr>
        <w:t xml:space="preserve">1. </w:t>
      </w:r>
      <w:r>
        <w:t xml:space="preserve">How does your solution handle SLA management and proactive escalation for diverse case types?</w:t>
      </w:r>
    </w:p>
    <w:p>
      <w:pPr>
        <w:spacing w:after="100"/>
        <w:ind w:left="720"/>
      </w:pPr>
      <w:r>
        <w:rPr>
          <w:b w:val="false"/>
          <w:bCs w:val="false"/>
        </w:rPr>
        <w:t xml:space="preserve">2. </w:t>
      </w:r>
      <w:r>
        <w:t xml:space="preserve">Can your platform integrate with Salesforce, Amadeus Altea, and SharePoint out of the box?</w:t>
      </w:r>
    </w:p>
    <w:p>
      <w:pPr>
        <w:spacing w:after="100"/>
        <w:ind w:left="720"/>
      </w:pPr>
      <w:r>
        <w:rPr>
          <w:b w:val="false"/>
          <w:bCs w:val="false"/>
        </w:rPr>
        <w:t xml:space="preserve">3. </w:t>
      </w:r>
      <w:r>
        <w:t xml:space="preserve">What measures does your product take to comply with GDPR, PCI-DSS, and aviation authority regulations?</w:t>
      </w:r>
    </w:p>
    <w:p>
      <w:pPr>
        <w:spacing w:after="100"/>
        <w:ind w:left="720"/>
      </w:pPr>
      <w:r>
        <w:rPr>
          <w:b w:val="false"/>
          <w:bCs w:val="false"/>
        </w:rPr>
        <w:t xml:space="preserve">4. </w:t>
      </w:r>
      <w:r>
        <w:t xml:space="preserve">Does your solution support omnichannel consistency and self-service capabilities?</w:t>
      </w:r>
    </w:p>
    <w:p>
      <w:pPr>
        <w:spacing w:after="100"/>
        <w:ind w:left="720"/>
      </w:pPr>
      <w:r>
        <w:rPr>
          <w:b w:val="false"/>
          <w:bCs w:val="false"/>
        </w:rPr>
        <w:t xml:space="preserve">5. </w:t>
      </w:r>
      <w:r>
        <w:t xml:space="preserve">How does your roadmap align with emerging technologies such as AI/ML and immersive engagement modes?</w:t>
      </w:r>
    </w:p>
    <w:p>
      <w:pPr>
        <w:pStyle w:val="Heading5"/>
        <w:spacing w:before="200" w:after="150"/>
      </w:pPr>
      <w:r>
        <w:t xml:space="preserve">Evaluation Criteria</w:t>
      </w:r>
    </w:p>
    <w:p>
      <w:pPr>
        <w:spacing w:after="100"/>
        <w:ind w:left="720"/>
      </w:pPr>
      <w:r>
        <w:rPr>
          <w:b w:val="false"/>
          <w:bCs w:val="false"/>
        </w:rPr>
        <w:t xml:space="preserve">1. </w:t>
      </w:r>
      <w:r>
        <w:rPr>
          <w:b/>
          <w:bCs/>
        </w:rPr>
        <w:t xml:space="preserve">Compliance:</w:t>
      </w:r>
      <w:r>
        <w:t xml:space="preserve"> Adherence to GDPR, PCI-DSS, and Emirates Accessibility Policy.</w:t>
      </w:r>
    </w:p>
    <w:p>
      <w:pPr>
        <w:spacing w:after="100"/>
        <w:ind w:left="720"/>
      </w:pPr>
      <w:r>
        <w:rPr>
          <w:b w:val="false"/>
          <w:bCs w:val="false"/>
        </w:rPr>
        <w:t xml:space="preserve">2. </w:t>
      </w:r>
      <w:r>
        <w:rPr>
          <w:b/>
          <w:bCs/>
        </w:rPr>
        <w:t xml:space="preserve">Integration Readiness:</w:t>
      </w:r>
      <w:r>
        <w:t xml:space="preserve"> Seamless interoperability with CRM, PSS, and other enterprise systems.</w:t>
      </w:r>
    </w:p>
    <w:p>
      <w:pPr>
        <w:spacing w:after="100"/>
        <w:ind w:left="720"/>
      </w:pPr>
      <w:r>
        <w:rPr>
          <w:b w:val="false"/>
          <w:bCs w:val="false"/>
        </w:rPr>
        <w:t xml:space="preserve">3. </w:t>
      </w:r>
      <w:r>
        <w:rPr>
          <w:b/>
          <w:bCs/>
        </w:rPr>
        <w:t xml:space="preserve">Feature Completeness:</w:t>
      </w:r>
      <w:r>
        <w:t xml:space="preserve"> Inclusion of core functionalities like SLA tracking, workflow automation, and omnichannel support.</w:t>
      </w:r>
    </w:p>
    <w:p>
      <w:pPr>
        <w:spacing w:after="100"/>
        <w:ind w:left="720"/>
      </w:pPr>
      <w:r>
        <w:rPr>
          <w:b w:val="false"/>
          <w:bCs w:val="false"/>
        </w:rPr>
        <w:t xml:space="preserve">4. </w:t>
      </w:r>
      <w:r>
        <w:rPr>
          <w:b/>
          <w:bCs/>
        </w:rPr>
        <w:t xml:space="preserve">Scalability:</w:t>
      </w:r>
      <w:r>
        <w:t xml:space="preserve"> Future-proof architecture supporting modular development and high-volume case handling.</w:t>
      </w:r>
    </w:p>
    <w:p>
      <w:pPr>
        <w:spacing w:after="100"/>
        <w:ind w:left="720"/>
      </w:pPr>
      <w:r>
        <w:rPr>
          <w:b w:val="false"/>
          <w:bCs w:val="false"/>
        </w:rPr>
        <w:t xml:space="preserve">5. </w:t>
      </w:r>
      <w:r>
        <w:rPr>
          <w:b/>
          <w:bCs/>
        </w:rPr>
        <w:t xml:space="preserve">Innovation:</w:t>
      </w:r>
      <w:r>
        <w:t xml:space="preserve"> Utilization of AI/ML and alignment with modern architecture principles for competitive advantage.</w:t>
      </w:r>
    </w:p>
    <w:p>
      <w:pPr>
        <w:spacing w:after="400"/>
      </w:pPr>
    </w:p>
    <w:p>
      <w:pPr>
        <w:pStyle w:val="Heading1"/>
        <w:spacing w:before="400" w:after="200"/>
      </w:pPr>
      <w:r>
        <w:t xml:space="preserve">Enterprise Architecture Requirements</w:t>
      </w:r>
    </w:p>
    <w:p>
      <w:pPr>
        <w:pStyle w:val="Heading4"/>
        <w:spacing w:before="200" w:after="150"/>
      </w:pPr>
      <w:r>
        <w:t xml:space="preserve">Enterprise Architecture Requirements</w:t>
      </w:r>
    </w:p>
    <w:p>
      <w:pPr>
        <w:pStyle w:val="Heading5"/>
        <w:spacing w:before="200" w:after="150"/>
      </w:pPr>
      <w:r>
        <w:t xml:space="preserve">1. Architecture Patterns &amp; Design Principles</w:t>
      </w:r>
    </w:p>
    <w:p>
      <w:pPr>
        <w:spacing w:after="200"/>
      </w:pPr>
      <w:r>
        <w:rPr>
          <w:b/>
          <w:bCs/>
        </w:rPr>
        <w:t xml:space="preserve">Required Approach:</w:t>
      </w:r>
    </w:p>
    <w:p>
      <w:pPr>
        <w:pStyle w:val="ListParagraph"/>
        <w:numPr>
          <w:ilvl w:val="0"/>
          <w:numId w:val="1"/>
        </w:numPr>
        <w:spacing w:after="100"/>
      </w:pPr>
      <w:r>
        <w:t xml:space="preserve">Adopt a modular, microservices-based architecture to ensure flexibility, scalability, and maintainability across the unified case management platform.</w:t>
      </w:r>
    </w:p>
    <w:p>
      <w:pPr>
        <w:pStyle w:val="ListParagraph"/>
        <w:numPr>
          <w:ilvl w:val="0"/>
          <w:numId w:val="1"/>
        </w:numPr>
        <w:spacing w:after="100"/>
      </w:pPr>
      <w:r>
        <w:t xml:space="preserve">Utilize cloud-native design principles such as 12-factor app methodology, containerization (e.g., Docker), and orchestration frameworks (e.g., Kubernetes) to enable portability and resilience.</w:t>
      </w:r>
    </w:p>
    <w:p>
      <w:pPr>
        <w:pStyle w:val="ListParagraph"/>
        <w:numPr>
          <w:ilvl w:val="0"/>
          <w:numId w:val="1"/>
        </w:numPr>
        <w:spacing w:after="100"/>
      </w:pPr>
      <w:r>
        <w:t xml:space="preserve">Implement event-driven patterns (e.g., CQRS, Saga) for real-time case updates, SLA adherence, and seamless cross-system communication.</w:t>
      </w:r>
    </w:p>
    <w:p>
      <w:pPr>
        <w:pStyle w:val="ListParagraph"/>
        <w:numPr>
          <w:ilvl w:val="0"/>
          <w:numId w:val="1"/>
        </w:numPr>
        <w:spacing w:after="100"/>
      </w:pPr>
      <w:r>
        <w:t xml:space="preserve">Ensure evolutionary design agility to accommodate anticipated future requirements, aligning with Emirates Group's "Evolutionary Design" principle.</w:t>
      </w:r>
    </w:p>
    <w:p>
      <w:pPr>
        <w:pStyle w:val="ListParagraph"/>
        <w:numPr>
          <w:ilvl w:val="0"/>
          <w:numId w:val="1"/>
        </w:numPr>
        <w:spacing w:after="100"/>
      </w:pPr>
      <w:r>
        <w:t xml:space="preserve">Leverage low-code development tools for workflows and automation scenarios to optimize longevity and reduce complexity in non-critical components, in accordance with organizational guidelines.</w:t>
      </w:r>
    </w:p>
    <w:p>
      <w:pPr>
        <w:pStyle w:val="ListParagraph"/>
        <w:numPr>
          <w:ilvl w:val="0"/>
          <w:numId w:val="1"/>
        </w:numPr>
        <w:spacing w:after="100"/>
      </w:pPr>
      <w:r>
        <w:t xml:space="preserve">Ensure data is treated as a critical asset, adhering to principles of centralized data management and avoiding duplication except in synchronized hot caches for SLA compliance.</w:t>
      </w:r>
    </w:p>
    <w:p>
      <w:pPr>
        <w:spacing w:after="200"/>
      </w:pPr>
      <w:r>
        <w:rPr>
          <w:b/>
          <w:bCs/>
        </w:rPr>
        <w:t xml:space="preserve">Data Architecture:</w:t>
      </w:r>
    </w:p>
    <w:p>
      <w:pPr>
        <w:pStyle w:val="ListParagraph"/>
        <w:numPr>
          <w:ilvl w:val="0"/>
          <w:numId w:val="1"/>
        </w:numPr>
        <w:spacing w:after="100"/>
      </w:pPr>
      <w:r>
        <w:t xml:space="preserve">Design the data layer to support transactional case records, customer profiles, SLA configurations, workflow definitions, and regulatory compliance records with strict adherence to data governance and security.</w:t>
      </w:r>
    </w:p>
    <w:p>
      <w:pPr>
        <w:pStyle w:val="ListParagraph"/>
        <w:numPr>
          <w:ilvl w:val="0"/>
          <w:numId w:val="1"/>
        </w:numPr>
        <w:spacing w:after="100"/>
      </w:pPr>
      <w:r>
        <w:t xml:space="preserve">Enable integration with the Enterprise Data Platform (EDP) for historical data analytics while maintaining operational data within transactional systems.</w:t>
      </w:r>
    </w:p>
    <w:p>
      <w:pPr>
        <w:pStyle w:val="ListParagraph"/>
        <w:numPr>
          <w:ilvl w:val="0"/>
          <w:numId w:val="1"/>
        </w:numPr>
        <w:spacing w:after="100"/>
      </w:pPr>
      <w:r>
        <w:t xml:space="preserve">Incorporate purging and archiving practices to prevent overburdening transactional stores, with detailed business-aligned documentation.</w:t>
      </w:r>
    </w:p>
    <w:p>
      <w:pPr>
        <w:pStyle w:val="Heading5"/>
        <w:spacing w:before="200" w:after="150"/>
      </w:pPr>
      <w:r>
        <w:t xml:space="preserve">2. Scalability &amp; Performance Requirements</w:t>
      </w:r>
    </w:p>
    <w:p>
      <w:pPr>
        <w:spacing w:after="200"/>
      </w:pPr>
      <w:r>
        <w:rPr>
          <w:b/>
          <w:bCs/>
        </w:rPr>
        <w:t xml:space="preserve">Expected Transaction Volumes:</w:t>
      </w:r>
    </w:p>
    <w:p>
      <w:pPr>
        <w:pStyle w:val="ListParagraph"/>
        <w:numPr>
          <w:ilvl w:val="0"/>
          <w:numId w:val="1"/>
        </w:numPr>
        <w:spacing w:after="100"/>
      </w:pPr>
      <w:r>
        <w:t xml:space="preserve">The system must handle a minimum of 50,000 cases monthly with peak loads during operational disruptions (e.g., weather events or flight cancellations).</w:t>
      </w:r>
    </w:p>
    <w:p>
      <w:pPr>
        <w:pStyle w:val="ListParagraph"/>
        <w:numPr>
          <w:ilvl w:val="0"/>
          <w:numId w:val="1"/>
        </w:numPr>
        <w:spacing w:after="100"/>
      </w:pPr>
      <w:r>
        <w:t xml:space="preserve">Design for at least 2x peak transaction volume scalability to accommodate growth and unforeseen surges.</w:t>
      </w:r>
    </w:p>
    <w:p>
      <w:pPr>
        <w:spacing w:after="200"/>
      </w:pPr>
      <w:r>
        <w:rPr>
          <w:b/>
          <w:bCs/>
        </w:rPr>
        <w:t xml:space="preserve">Performance SLAs:</w:t>
      </w:r>
    </w:p>
    <w:p>
      <w:pPr>
        <w:pStyle w:val="ListParagraph"/>
        <w:numPr>
          <w:ilvl w:val="0"/>
          <w:numId w:val="1"/>
        </w:numPr>
        <w:spacing w:after="100"/>
      </w:pPr>
      <w:r>
        <w:t xml:space="preserve">Case creation must occur within 1 second.</w:t>
      </w:r>
    </w:p>
    <w:p>
      <w:pPr>
        <w:pStyle w:val="ListParagraph"/>
        <w:numPr>
          <w:ilvl w:val="0"/>
          <w:numId w:val="1"/>
        </w:numPr>
        <w:spacing w:after="100"/>
      </w:pPr>
      <w:r>
        <w:t xml:space="preserve">Retrieval and updates of case records must complete within 2 seconds.</w:t>
      </w:r>
    </w:p>
    <w:p>
      <w:pPr>
        <w:pStyle w:val="ListParagraph"/>
        <w:numPr>
          <w:ilvl w:val="0"/>
          <w:numId w:val="1"/>
        </w:numPr>
        <w:spacing w:after="100"/>
      </w:pPr>
      <w:r>
        <w:t xml:space="preserve">Dashboard metrics and reporting must refresh in real-time or near-real-time (maximum latency of 5 seconds).</w:t>
      </w:r>
    </w:p>
    <w:p>
      <w:pPr>
        <w:spacing w:after="200"/>
      </w:pPr>
      <w:r>
        <w:rPr>
          <w:b/>
          <w:bCs/>
        </w:rPr>
        <w:t xml:space="preserve">Uptime Requirements:</w:t>
      </w:r>
    </w:p>
    <w:p>
      <w:pPr>
        <w:pStyle w:val="ListParagraph"/>
        <w:numPr>
          <w:ilvl w:val="0"/>
          <w:numId w:val="1"/>
        </w:numPr>
        <w:spacing w:after="100"/>
      </w:pPr>
      <w:r>
        <w:t xml:space="preserve">Achieve 99.99% uptime to support critical case management operations and regulatory compliance.</w:t>
      </w:r>
    </w:p>
    <w:p>
      <w:pPr>
        <w:spacing w:after="200"/>
      </w:pPr>
      <w:r>
        <w:rPr>
          <w:b/>
          <w:bCs/>
        </w:rPr>
        <w:t xml:space="preserve">Auto-scaling:</w:t>
      </w:r>
    </w:p>
    <w:p>
      <w:pPr>
        <w:pStyle w:val="ListParagraph"/>
        <w:numPr>
          <w:ilvl w:val="0"/>
          <w:numId w:val="1"/>
        </w:numPr>
        <w:spacing w:after="100"/>
      </w:pPr>
      <w:r>
        <w:t xml:space="preserve">Implement elastic scaling to dynamically adjust capacity based on demand using cloud-native autoscaling capabilities.</w:t>
      </w:r>
    </w:p>
    <w:p>
      <w:pPr>
        <w:pStyle w:val="Heading5"/>
        <w:spacing w:before="200" w:after="150"/>
      </w:pPr>
      <w:r>
        <w:t xml:space="preserve">3. Integration Architecture</w:t>
      </w:r>
    </w:p>
    <w:p>
      <w:pPr>
        <w:spacing w:after="200"/>
      </w:pPr>
      <w:r>
        <w:rPr>
          <w:b/>
          <w:bCs/>
        </w:rPr>
        <w:t xml:space="preserve">API Design Standards:</w:t>
      </w:r>
    </w:p>
    <w:p>
      <w:pPr>
        <w:pStyle w:val="ListParagraph"/>
        <w:numPr>
          <w:ilvl w:val="0"/>
          <w:numId w:val="1"/>
        </w:numPr>
        <w:spacing w:after="100"/>
      </w:pPr>
      <w:r>
        <w:t xml:space="preserve">Define RESTful APIs with OpenAPI/Swagger specifications for seamless integration with CRM, PSS, document management, telephony systems, and regulatory portals.</w:t>
      </w:r>
    </w:p>
    <w:p>
      <w:pPr>
        <w:pStyle w:val="ListParagraph"/>
        <w:numPr>
          <w:ilvl w:val="0"/>
          <w:numId w:val="1"/>
        </w:numPr>
        <w:spacing w:after="100"/>
      </w:pPr>
      <w:r>
        <w:t xml:space="preserve">Ensure APIs are versioned and backward-compatible to minimize disruption during upgrades.</w:t>
      </w:r>
    </w:p>
    <w:p>
      <w:pPr>
        <w:pStyle w:val="ListParagraph"/>
        <w:numPr>
          <w:ilvl w:val="0"/>
          <w:numId w:val="1"/>
        </w:numPr>
        <w:spacing w:after="100"/>
      </w:pPr>
      <w:r>
        <w:t xml:space="preserve">Implement GraphQL for dynamic querying of customer profiles and case records.</w:t>
      </w:r>
    </w:p>
    <w:p>
      <w:pPr>
        <w:spacing w:after="200"/>
      </w:pPr>
      <w:r>
        <w:rPr>
          <w:b/>
          <w:bCs/>
        </w:rPr>
        <w:t xml:space="preserve">Event Streaming &amp; Messaging:</w:t>
      </w:r>
    </w:p>
    <w:p>
      <w:pPr>
        <w:pStyle w:val="ListParagraph"/>
        <w:numPr>
          <w:ilvl w:val="0"/>
          <w:numId w:val="1"/>
        </w:numPr>
        <w:spacing w:after="100"/>
      </w:pPr>
      <w:r>
        <w:t xml:space="preserve">Utilize message queues (e.g., RabbitMQ or Kafka) for asynchronous processing of workflows and SLA escalations.</w:t>
      </w:r>
    </w:p>
    <w:p>
      <w:pPr>
        <w:pStyle w:val="ListParagraph"/>
        <w:numPr>
          <w:ilvl w:val="0"/>
          <w:numId w:val="1"/>
        </w:numPr>
        <w:spacing w:after="100"/>
      </w:pPr>
      <w:r>
        <w:t xml:space="preserve">Event-driven architecture should enable real-time updates and notifications across channels (web, mobile, email, chat).</w:t>
      </w:r>
    </w:p>
    <w:p>
      <w:pPr>
        <w:spacing w:after="200"/>
      </w:pPr>
      <w:r>
        <w:rPr>
          <w:b/>
          <w:bCs/>
        </w:rPr>
        <w:t xml:space="preserve">Third-party Integration:</w:t>
      </w:r>
    </w:p>
    <w:p>
      <w:pPr>
        <w:pStyle w:val="ListParagraph"/>
        <w:numPr>
          <w:ilvl w:val="0"/>
          <w:numId w:val="1"/>
        </w:numPr>
        <w:spacing w:after="100"/>
      </w:pPr>
      <w:r>
        <w:t xml:space="preserve">Design integration patterns to support SaaS platforms (e.g., Salesforce, Genesys, SendGrid) with robust error handling, retry mechanisms, and observability.</w:t>
      </w:r>
    </w:p>
    <w:p>
      <w:pPr>
        <w:pStyle w:val="Heading5"/>
        <w:spacing w:before="200" w:after="150"/>
      </w:pPr>
      <w:r>
        <w:t xml:space="preserve">4. Security &amp; Compliance Architecture</w:t>
      </w:r>
    </w:p>
    <w:p>
      <w:pPr>
        <w:spacing w:after="200"/>
      </w:pPr>
      <w:r>
        <w:rPr>
          <w:b/>
          <w:bCs/>
        </w:rPr>
        <w:t xml:space="preserve">Security Principles:</w:t>
      </w:r>
    </w:p>
    <w:p>
      <w:pPr>
        <w:pStyle w:val="ListParagraph"/>
        <w:numPr>
          <w:ilvl w:val="0"/>
          <w:numId w:val="1"/>
        </w:numPr>
        <w:spacing w:after="100"/>
      </w:pPr>
      <w:r>
        <w:t xml:space="preserve">Implement "Zero Trust" security architecture to enforce strict access controls and secure communications between microservices.</w:t>
      </w:r>
    </w:p>
    <w:p>
      <w:pPr>
        <w:pStyle w:val="ListParagraph"/>
        <w:numPr>
          <w:ilvl w:val="0"/>
          <w:numId w:val="1"/>
        </w:numPr>
        <w:spacing w:after="100"/>
      </w:pPr>
      <w:r>
        <w:t xml:space="preserve">Apply encryption for data at rest (AES-256) and in transit (TLS 1.2 or higher).</w:t>
      </w:r>
    </w:p>
    <w:p>
      <w:pPr>
        <w:pStyle w:val="ListParagraph"/>
        <w:numPr>
          <w:ilvl w:val="0"/>
          <w:numId w:val="1"/>
        </w:numPr>
        <w:spacing w:after="100"/>
      </w:pPr>
      <w:r>
        <w:t xml:space="preserve">Design systems to meet Emirates Group's data privacy and cybersecurity regulations, including GDPR, PCI-DSS, and CSOC requirements.</w:t>
      </w:r>
    </w:p>
    <w:p>
      <w:pPr>
        <w:pStyle w:val="ListParagraph"/>
        <w:numPr>
          <w:ilvl w:val="0"/>
          <w:numId w:val="1"/>
        </w:numPr>
        <w:spacing w:after="100"/>
      </w:pPr>
      <w:r>
        <w:t xml:space="preserve">Ensure customer data is centralized where feasible to reduce compliance risks.</w:t>
      </w:r>
    </w:p>
    <w:p>
      <w:pPr>
        <w:spacing w:after="200"/>
      </w:pPr>
      <w:r>
        <w:rPr>
          <w:b/>
          <w:bCs/>
        </w:rPr>
        <w:t xml:space="preserve">Identity and Access Management:</w:t>
      </w:r>
    </w:p>
    <w:p>
      <w:pPr>
        <w:pStyle w:val="ListParagraph"/>
        <w:numPr>
          <w:ilvl w:val="0"/>
          <w:numId w:val="1"/>
        </w:numPr>
        <w:spacing w:after="100"/>
      </w:pPr>
      <w:r>
        <w:t xml:space="preserve">Use role-based access control (RBAC) and attribute-based access control (ABAC) for granular permission management.</w:t>
      </w:r>
    </w:p>
    <w:p>
      <w:pPr>
        <w:pStyle w:val="ListParagraph"/>
        <w:numPr>
          <w:ilvl w:val="0"/>
          <w:numId w:val="1"/>
        </w:numPr>
        <w:spacing w:after="100"/>
      </w:pPr>
      <w:r>
        <w:t xml:space="preserve">Integrate with single sign-on (SSO) and multi-factor authentication (MFA) solutions.</w:t>
      </w:r>
    </w:p>
    <w:p>
      <w:pPr>
        <w:pStyle w:val="Heading5"/>
        <w:spacing w:before="200" w:after="150"/>
      </w:pPr>
      <w:r>
        <w:t xml:space="preserve">5. Disaster Recovery &amp; Business Continuity</w:t>
      </w:r>
    </w:p>
    <w:p>
      <w:pPr>
        <w:spacing w:after="200"/>
      </w:pPr>
      <w:r>
        <w:rPr>
          <w:b/>
          <w:bCs/>
        </w:rPr>
        <w:t xml:space="preserve">Deployment Strategy:</w:t>
      </w:r>
    </w:p>
    <w:p>
      <w:pPr>
        <w:pStyle w:val="ListParagraph"/>
        <w:numPr>
          <w:ilvl w:val="0"/>
          <w:numId w:val="1"/>
        </w:numPr>
        <w:spacing w:after="100"/>
      </w:pPr>
      <w:r>
        <w:t xml:space="preserve">Employ a multi-region deployment model across geographically distributed data centers to ensure high availability.</w:t>
      </w:r>
    </w:p>
    <w:p>
      <w:pPr>
        <w:spacing w:after="200"/>
      </w:pPr>
      <w:r>
        <w:rPr>
          <w:b/>
          <w:bCs/>
        </w:rPr>
        <w:t xml:space="preserve">RPO/RTO Targets:</w:t>
      </w:r>
    </w:p>
    <w:p>
      <w:pPr>
        <w:pStyle w:val="ListParagraph"/>
        <w:numPr>
          <w:ilvl w:val="0"/>
          <w:numId w:val="1"/>
        </w:numPr>
        <w:spacing w:after="100"/>
      </w:pPr>
      <w:r>
        <w:t xml:space="preserve">Recovery Point Objective (RPO): Maximum of 5 minutes.</w:t>
      </w:r>
    </w:p>
    <w:p>
      <w:pPr>
        <w:pStyle w:val="ListParagraph"/>
        <w:numPr>
          <w:ilvl w:val="0"/>
          <w:numId w:val="1"/>
        </w:numPr>
        <w:spacing w:after="100"/>
      </w:pPr>
      <w:r>
        <w:t xml:space="preserve">Recovery Time Objective (RTO): Maximum of 15 minutes.</w:t>
      </w:r>
    </w:p>
    <w:p>
      <w:pPr>
        <w:spacing w:after="200"/>
      </w:pPr>
      <w:r>
        <w:rPr>
          <w:b/>
          <w:bCs/>
        </w:rPr>
        <w:t xml:space="preserve">Data Replication:</w:t>
      </w:r>
    </w:p>
    <w:p>
      <w:pPr>
        <w:pStyle w:val="ListParagraph"/>
        <w:numPr>
          <w:ilvl w:val="0"/>
          <w:numId w:val="1"/>
        </w:numPr>
        <w:spacing w:after="100"/>
      </w:pPr>
      <w:r>
        <w:t xml:space="preserve">Implement synchronous replication for critical transactional data and asynchronous replication for less critical data.</w:t>
      </w:r>
    </w:p>
    <w:p>
      <w:pPr>
        <w:spacing w:after="200"/>
      </w:pPr>
      <w:r>
        <w:rPr>
          <w:b/>
          <w:bCs/>
        </w:rPr>
        <w:t xml:space="preserve">Failover Strategy:</w:t>
      </w:r>
    </w:p>
    <w:p>
      <w:pPr>
        <w:pStyle w:val="ListParagraph"/>
        <w:numPr>
          <w:ilvl w:val="0"/>
          <w:numId w:val="1"/>
        </w:numPr>
        <w:spacing w:after="100"/>
      </w:pPr>
      <w:r>
        <w:t xml:space="preserve">Design systems for automated failover with health checks and load balancing to redirect traffic seamlessly during outages.</w:t>
      </w:r>
    </w:p>
    <w:p>
      <w:pPr>
        <w:pStyle w:val="Heading5"/>
        <w:spacing w:before="200" w:after="150"/>
      </w:pPr>
      <w:r>
        <w:t xml:space="preserve">6. Technical Debt &amp; Modernization</w:t>
      </w:r>
    </w:p>
    <w:p>
      <w:pPr>
        <w:spacing w:after="200"/>
      </w:pPr>
      <w:r>
        <w:rPr>
          <w:b/>
          <w:bCs/>
        </w:rPr>
        <w:t xml:space="preserve">Migration Strategy:</w:t>
      </w:r>
    </w:p>
    <w:p>
      <w:pPr>
        <w:pStyle w:val="ListParagraph"/>
        <w:numPr>
          <w:ilvl w:val="0"/>
          <w:numId w:val="1"/>
        </w:numPr>
        <w:spacing w:after="100"/>
      </w:pPr>
      <w:r>
        <w:t xml:space="preserve">Develop a phased migration plan to transition from legacy systems to the new platform, prioritizing high-impact areas (e.g., SLA-critical processes).</w:t>
      </w:r>
    </w:p>
    <w:p>
      <w:pPr>
        <w:spacing w:after="200"/>
      </w:pPr>
      <w:r>
        <w:rPr>
          <w:b/>
          <w:bCs/>
        </w:rPr>
        <w:t xml:space="preserve">Managing Technical Debt:</w:t>
      </w:r>
    </w:p>
    <w:p>
      <w:pPr>
        <w:pStyle w:val="ListParagraph"/>
        <w:numPr>
          <w:ilvl w:val="0"/>
          <w:numId w:val="1"/>
        </w:numPr>
        <w:spacing w:after="100"/>
      </w:pPr>
      <w:r>
        <w:t xml:space="preserve">Conduct periodic audits to identify and address technical debt, aligning with Emirates Group's "Design for Operational Excellence" principle.</w:t>
      </w:r>
    </w:p>
    <w:p>
      <w:pPr>
        <w:spacing w:after="200"/>
      </w:pPr>
      <w:r>
        <w:rPr>
          <w:b/>
          <w:bCs/>
        </w:rPr>
        <w:t xml:space="preserve">Roadmap for Evolution:</w:t>
      </w:r>
    </w:p>
    <w:p>
      <w:pPr>
        <w:pStyle w:val="ListParagraph"/>
        <w:numPr>
          <w:ilvl w:val="0"/>
          <w:numId w:val="1"/>
        </w:numPr>
        <w:spacing w:after="100"/>
      </w:pPr>
      <w:r>
        <w:t xml:space="preserve">Leverage modular architecture to introduce new capabilities incrementally, ensuring alignment with business objectives and compliance requirements.</w:t>
      </w:r>
    </w:p>
    <w:p>
      <w:pPr>
        <w:pStyle w:val="Heading5"/>
        <w:spacing w:before="200" w:after="150"/>
      </w:pPr>
      <w:r>
        <w:t xml:space="preserve">7. Compliance with Organizational Standards</w:t>
      </w:r>
    </w:p>
    <w:p>
      <w:pPr>
        <w:pStyle w:val="ListParagraph"/>
        <w:numPr>
          <w:ilvl w:val="0"/>
          <w:numId w:val="1"/>
        </w:numPr>
        <w:spacing w:after="100"/>
      </w:pPr>
      <w:r>
        <w:t xml:space="preserve">Ensure adherence to Emirates Group's architecture principles, including customer-centric design, omnichannel consistency, modular architecture, and resiliency.</w:t>
      </w:r>
    </w:p>
    <w:p>
      <w:pPr>
        <w:pStyle w:val="ListParagraph"/>
        <w:numPr>
          <w:ilvl w:val="0"/>
          <w:numId w:val="1"/>
        </w:numPr>
        <w:spacing w:after="100"/>
      </w:pPr>
      <w:r>
        <w:t xml:space="preserve">Integrate observability frameworks for proactive monitoring and alerting, ensuring operational excellence.</w:t>
      </w:r>
    </w:p>
    <w:p>
      <w:pPr>
        <w:pStyle w:val="ListParagraph"/>
        <w:numPr>
          <w:ilvl w:val="0"/>
          <w:numId w:val="1"/>
        </w:numPr>
        <w:spacing w:after="100"/>
      </w:pPr>
      <w:r>
        <w:t xml:space="preserve">Employ programmable APIs and FinOps practices to optimize reliability and performance.</w:t>
      </w:r>
    </w:p>
    <w:p>
      <w:pPr>
        <w:pStyle w:val="Heading4"/>
        <w:spacing w:before="200" w:after="150"/>
      </w:pPr>
      <w:r>
        <w:t xml:space="preserve">Questions for Vendors</w:t>
      </w:r>
    </w:p>
    <w:p>
      <w:pPr>
        <w:spacing w:after="100"/>
        <w:ind w:left="720"/>
      </w:pPr>
      <w:r>
        <w:rPr>
          <w:b w:val="false"/>
          <w:bCs w:val="false"/>
        </w:rPr>
        <w:t xml:space="preserve">1. </w:t>
      </w:r>
      <w:r>
        <w:t xml:space="preserve">How does your proposed solution ensure compliance with Emirates Group's architecture principles, including modularity, resiliency, and accessibility?</w:t>
      </w:r>
    </w:p>
    <w:p>
      <w:pPr>
        <w:spacing w:after="100"/>
        <w:ind w:left="720"/>
      </w:pPr>
      <w:r>
        <w:rPr>
          <w:b w:val="false"/>
          <w:bCs w:val="false"/>
        </w:rPr>
        <w:t xml:space="preserve">2. </w:t>
      </w:r>
      <w:r>
        <w:t xml:space="preserve">Can your solution meet the specified uptime, scalability, and performance SLAs? Provide evidence of previous implementations handling similar transaction volumes.</w:t>
      </w:r>
    </w:p>
    <w:p>
      <w:pPr>
        <w:spacing w:after="100"/>
        <w:ind w:left="720"/>
      </w:pPr>
      <w:r>
        <w:rPr>
          <w:b w:val="false"/>
          <w:bCs w:val="false"/>
        </w:rPr>
        <w:t xml:space="preserve">3. </w:t>
      </w:r>
      <w:r>
        <w:t xml:space="preserve">Describe the disaster recovery strategy for your solution, including RPO and RTO guarantees.</w:t>
      </w:r>
    </w:p>
    <w:p>
      <w:pPr>
        <w:spacing w:after="100"/>
        <w:ind w:left="720"/>
      </w:pPr>
      <w:r>
        <w:rPr>
          <w:b w:val="false"/>
          <w:bCs w:val="false"/>
        </w:rPr>
        <w:t xml:space="preserve">4. </w:t>
      </w:r>
      <w:r>
        <w:t xml:space="preserve">How does your solution handle integration with diverse enterprise systems and ensure seamless data flow?</w:t>
      </w:r>
    </w:p>
    <w:p>
      <w:pPr>
        <w:spacing w:after="100"/>
        <w:ind w:left="720"/>
      </w:pPr>
      <w:r>
        <w:rPr>
          <w:b w:val="false"/>
          <w:bCs w:val="false"/>
        </w:rPr>
        <w:t xml:space="preserve">5. </w:t>
      </w:r>
      <w:r>
        <w:t xml:space="preserve">What measures are implemented to ensure security, data privacy, and compliance with GDPR, PCI-DSS, and other relevant frameworks?</w:t>
      </w:r>
    </w:p>
    <w:p>
      <w:pPr>
        <w:spacing w:after="100"/>
        <w:ind w:left="720"/>
      </w:pPr>
      <w:r>
        <w:rPr>
          <w:b w:val="false"/>
          <w:bCs w:val="false"/>
        </w:rPr>
        <w:t xml:space="preserve">6. </w:t>
      </w:r>
      <w:r>
        <w:t xml:space="preserve">How does your solution manage technical debt and support evolutionary design?</w:t>
      </w:r>
    </w:p>
    <w:p>
      <w:pPr>
        <w:pStyle w:val="Heading4"/>
        <w:spacing w:before="200" w:after="150"/>
      </w:pPr>
      <w:r>
        <w:t xml:space="preserve">Evaluation Criteria</w:t>
      </w:r>
    </w:p>
    <w:p>
      <w:pPr>
        <w:spacing w:after="100"/>
        <w:ind w:left="720"/>
      </w:pPr>
      <w:r>
        <w:rPr>
          <w:b w:val="false"/>
          <w:bCs w:val="false"/>
        </w:rPr>
        <w:t xml:space="preserve">1. </w:t>
      </w:r>
      <w:r>
        <w:t xml:space="preserve">Alignment with Emirates Group's architecture principles, including modularity, agility, and resiliency.</w:t>
      </w:r>
    </w:p>
    <w:p>
      <w:pPr>
        <w:spacing w:after="100"/>
        <w:ind w:left="720"/>
      </w:pPr>
      <w:r>
        <w:rPr>
          <w:b w:val="false"/>
          <w:bCs w:val="false"/>
        </w:rPr>
        <w:t xml:space="preserve">2. </w:t>
      </w:r>
      <w:r>
        <w:t xml:space="preserve">Scalability and performance of the proposed solution, including ability to handle peak transaction volumes.</w:t>
      </w:r>
    </w:p>
    <w:p>
      <w:pPr>
        <w:spacing w:after="100"/>
        <w:ind w:left="720"/>
      </w:pPr>
      <w:r>
        <w:rPr>
          <w:b w:val="false"/>
          <w:bCs w:val="false"/>
        </w:rPr>
        <w:t xml:space="preserve">3. </w:t>
      </w:r>
      <w:r>
        <w:t xml:space="preserve">Security architecture compliance with GDPR, PCI-DSS, and Emirates Group standards.</w:t>
      </w:r>
    </w:p>
    <w:p>
      <w:pPr>
        <w:spacing w:after="100"/>
        <w:ind w:left="720"/>
      </w:pPr>
      <w:r>
        <w:rPr>
          <w:b w:val="false"/>
          <w:bCs w:val="false"/>
        </w:rPr>
        <w:t xml:space="preserve">4. </w:t>
      </w:r>
      <w:r>
        <w:t xml:space="preserve">Integration capabilities with enterprise systems and third-party platforms.</w:t>
      </w:r>
    </w:p>
    <w:p>
      <w:pPr>
        <w:spacing w:after="100"/>
        <w:ind w:left="720"/>
      </w:pPr>
      <w:r>
        <w:rPr>
          <w:b w:val="false"/>
          <w:bCs w:val="false"/>
        </w:rPr>
        <w:t xml:space="preserve">5. </w:t>
      </w:r>
      <w:r>
        <w:t xml:space="preserve">Disaster recovery and business continuity strategy aligned with uptime requirements.</w:t>
      </w:r>
    </w:p>
    <w:p>
      <w:pPr>
        <w:spacing w:after="100"/>
        <w:ind w:left="720"/>
      </w:pPr>
      <w:r>
        <w:rPr>
          <w:b w:val="false"/>
          <w:bCs w:val="false"/>
        </w:rPr>
        <w:t xml:space="preserve">6. </w:t>
      </w:r>
      <w:r>
        <w:t xml:space="preserve">Vendor's approach to managing technical debt and supporting system modernization.</w:t>
      </w:r>
    </w:p>
    <w:p>
      <w:pPr>
        <w:spacing w:after="100"/>
        <w:ind w:left="720"/>
      </w:pPr>
      <w:r>
        <w:rPr>
          <w:b w:val="false"/>
          <w:bCs w:val="false"/>
        </w:rPr>
        <w:t xml:space="preserve">7. </w:t>
      </w:r>
      <w:r>
        <w:t xml:space="preserve">Total cost of ownership and sustainability of the solution.</w:t>
      </w:r>
    </w:p>
    <w:p>
      <w:pPr>
        <w:spacing w:after="400"/>
      </w:pPr>
    </w:p>
    <w:p>
      <w:pPr>
        <w:pStyle w:val="Heading1"/>
        <w:spacing w:before="400" w:after="200"/>
      </w:pPr>
      <w:r>
        <w:t xml:space="preserve">Engineering &amp; Technical Quality Requirements</w:t>
      </w:r>
    </w:p>
    <w:p>
      <w:pPr>
        <w:pStyle w:val="Heading4"/>
        <w:spacing w:before="200" w:after="150"/>
      </w:pPr>
      <w:r>
        <w:t xml:space="preserve">Engineering &amp; Technical Quality Requirements</w:t>
      </w:r>
    </w:p>
    <w:p>
      <w:pPr>
        <w:pStyle w:val="Heading5"/>
        <w:spacing w:before="200" w:after="150"/>
      </w:pPr>
      <w:r>
        <w:t xml:space="preserve">1. API Design &amp; Development Standards</w:t>
      </w:r>
    </w:p>
    <w:p>
      <w:pPr>
        <w:spacing w:after="200"/>
      </w:pPr>
      <w:r>
        <w:t xml:space="preserve">To ensure seamless integration, scalability, and maintainability of the Enterprise Case Management System, the following API standards and practices must be adopted:</w:t>
      </w:r>
    </w:p>
    <w:p>
      <w:pPr>
        <w:pStyle w:val="ListParagraph"/>
        <w:numPr>
          <w:ilvl w:val="0"/>
          <w:numId w:val="1"/>
        </w:numPr>
        <w:spacing w:after="100"/>
      </w:pPr>
      <w:r>
        <w:rPr>
          <w:b/>
          <w:bCs/>
        </w:rPr>
        <w:t xml:space="preserve">API Design Patterns</w:t>
      </w:r>
      <w:r>
        <w:t xml:space="preserve">: APIs must follow RESTful principles with JSON payloads, and support GraphQL for flexible querying of data. Event-driven architectures using webhooks must be implemented for real-time updates. For high-performance use cases, gRPC should be considered.</w:t>
      </w:r>
    </w:p>
    <w:p>
      <w:pPr>
        <w:pStyle w:val="ListParagraph"/>
        <w:numPr>
          <w:ilvl w:val="0"/>
          <w:numId w:val="1"/>
        </w:numPr>
        <w:spacing w:after="100"/>
      </w:pPr>
      <w:r>
        <w:rPr>
          <w:b/>
          <w:bCs/>
        </w:rPr>
        <w:t xml:space="preserve">Versioning Strategy</w:t>
      </w:r>
      <w:r>
        <w:t xml:space="preserve">: APIs must implement semantic versioning and maintain backward compatibility for at least two major versions to avoid disruptions to integrations.</w:t>
      </w:r>
    </w:p>
    <w:p>
      <w:pPr>
        <w:pStyle w:val="ListParagraph"/>
        <w:numPr>
          <w:ilvl w:val="0"/>
          <w:numId w:val="1"/>
        </w:numPr>
        <w:spacing w:after="100"/>
      </w:pPr>
      <w:r>
        <w:rPr>
          <w:b/>
          <w:bCs/>
        </w:rPr>
        <w:t xml:space="preserve">Error Handling</w:t>
      </w:r>
      <w:r>
        <w:t xml:space="preserve">: Standardized error responses must be implemented using HTTP status codes (e.g., 4xx for client errors, 5xx for server errors) and machine-readable error payloads with meaningful error codes and messages.</w:t>
      </w:r>
    </w:p>
    <w:p>
      <w:pPr>
        <w:pStyle w:val="ListParagraph"/>
        <w:numPr>
          <w:ilvl w:val="0"/>
          <w:numId w:val="1"/>
        </w:numPr>
        <w:spacing w:after="100"/>
      </w:pPr>
      <w:r>
        <w:rPr>
          <w:b/>
          <w:bCs/>
        </w:rPr>
        <w:t xml:space="preserve">Rate Limiting &amp; Throttling</w:t>
      </w:r>
      <w:r>
        <w:t xml:space="preserve">: APIs must include configurable rate-limiting mechanisms to prevent abuse and ensure fair usage among clients. Define quotas per client/application.</w:t>
      </w:r>
    </w:p>
    <w:p>
      <w:pPr>
        <w:pStyle w:val="ListParagraph"/>
        <w:numPr>
          <w:ilvl w:val="0"/>
          <w:numId w:val="1"/>
        </w:numPr>
        <w:spacing w:after="100"/>
      </w:pPr>
      <w:r>
        <w:rPr>
          <w:b/>
          <w:bCs/>
        </w:rPr>
        <w:t xml:space="preserve">Documentation Standards</w:t>
      </w:r>
      <w:r>
        <w:t xml:space="preserve">: OpenAPI (Swagger) specifications must be provided for all APIs. Interactive documentation tools and example requests/responses must be included to facilitate developer consumption.</w:t>
      </w:r>
    </w:p>
    <w:p>
      <w:pPr>
        <w:pStyle w:val="Heading5"/>
        <w:spacing w:before="200" w:after="150"/>
      </w:pPr>
      <w:r>
        <w:t xml:space="preserve">2. SDK &amp; Developer Experience</w:t>
      </w:r>
    </w:p>
    <w:p>
      <w:pPr>
        <w:spacing w:after="200"/>
      </w:pPr>
      <w:r>
        <w:t xml:space="preserve">To enable rapid adoption and integration, the following SDK and developer experience requirements are mandatory:</w:t>
      </w:r>
    </w:p>
    <w:p>
      <w:pPr>
        <w:pStyle w:val="ListParagraph"/>
        <w:numPr>
          <w:ilvl w:val="0"/>
          <w:numId w:val="1"/>
        </w:numPr>
        <w:spacing w:after="100"/>
      </w:pPr>
      <w:r>
        <w:rPr>
          <w:b/>
          <w:bCs/>
        </w:rPr>
        <w:t xml:space="preserve">SDK Support</w:t>
      </w:r>
      <w:r>
        <w:t xml:space="preserve">: SDKs must be provided for at least the following programming languages: Java, Node.js, Python, .NET, and Go. SDKs must include robust error handling, retries, and logging.</w:t>
      </w:r>
    </w:p>
    <w:p>
      <w:pPr>
        <w:pStyle w:val="ListParagraph"/>
        <w:numPr>
          <w:ilvl w:val="0"/>
          <w:numId w:val="1"/>
        </w:numPr>
        <w:spacing w:after="100"/>
      </w:pPr>
      <w:r>
        <w:rPr>
          <w:b/>
          <w:bCs/>
        </w:rPr>
        <w:t xml:space="preserve">Code Examples</w:t>
      </w:r>
      <w:r>
        <w:t xml:space="preserve">: Provide detailed code examples, quickstart guides, and step-by-step tutorials for common integration scenarios.</w:t>
      </w:r>
    </w:p>
    <w:p>
      <w:pPr>
        <w:pStyle w:val="ListParagraph"/>
        <w:numPr>
          <w:ilvl w:val="0"/>
          <w:numId w:val="1"/>
        </w:numPr>
        <w:spacing w:after="100"/>
      </w:pPr>
      <w:r>
        <w:rPr>
          <w:b/>
          <w:bCs/>
        </w:rPr>
        <w:t xml:space="preserve">Developer Portal</w:t>
      </w:r>
      <w:r>
        <w:t xml:space="preserve">: A developer portal must be available, offering API documentation, sandbox environments, and access to API keys.</w:t>
      </w:r>
    </w:p>
    <w:p>
      <w:pPr>
        <w:pStyle w:val="ListParagraph"/>
        <w:numPr>
          <w:ilvl w:val="0"/>
          <w:numId w:val="1"/>
        </w:numPr>
        <w:spacing w:after="100"/>
      </w:pPr>
      <w:r>
        <w:rPr>
          <w:b/>
          <w:bCs/>
        </w:rPr>
        <w:t xml:space="preserve">Testing Tools</w:t>
      </w:r>
      <w:r>
        <w:t xml:space="preserve">: Mock services and testing utilities must be provided to simulate API behavior for integration testing.</w:t>
      </w:r>
    </w:p>
    <w:p>
      <w:pPr>
        <w:pStyle w:val="ListParagraph"/>
        <w:numPr>
          <w:ilvl w:val="0"/>
          <w:numId w:val="1"/>
        </w:numPr>
        <w:spacing w:after="100"/>
      </w:pPr>
      <w:r>
        <w:rPr>
          <w:b/>
          <w:bCs/>
        </w:rPr>
        <w:t xml:space="preserve">Onboarding Documentation</w:t>
      </w:r>
      <w:r>
        <w:t xml:space="preserve">: Comprehensive developer onboarding guides, including authentication setup, API usage patterns, and troubleshooting steps, must be included.</w:t>
      </w:r>
    </w:p>
    <w:p>
      <w:pPr>
        <w:pStyle w:val="Heading5"/>
        <w:spacing w:before="200" w:after="150"/>
      </w:pPr>
      <w:r>
        <w:t xml:space="preserve">3. Code Quality &amp; Testing</w:t>
      </w:r>
    </w:p>
    <w:p>
      <w:pPr>
        <w:spacing w:after="200"/>
      </w:pPr>
      <w:r>
        <w:t xml:space="preserve">The platform must meet high standards of code quality and testing to ensure maintainability and reliability:</w:t>
      </w:r>
    </w:p>
    <w:p>
      <w:pPr>
        <w:pStyle w:val="ListParagraph"/>
        <w:numPr>
          <w:ilvl w:val="0"/>
          <w:numId w:val="1"/>
        </w:numPr>
        <w:spacing w:after="100"/>
      </w:pPr>
      <w:r>
        <w:rPr>
          <w:b/>
          <w:bCs/>
        </w:rPr>
        <w:t xml:space="preserve">Test Coverage</w:t>
      </w:r>
      <w:r>
        <w:t xml:space="preserve">: Unit test coverage must be at least 80%. Integration and end-to-end (E2E) tests must cover critical workflows.</w:t>
      </w:r>
    </w:p>
    <w:p>
      <w:pPr>
        <w:pStyle w:val="ListParagraph"/>
        <w:numPr>
          <w:ilvl w:val="0"/>
          <w:numId w:val="1"/>
        </w:numPr>
        <w:spacing w:after="100"/>
      </w:pPr>
      <w:r>
        <w:rPr>
          <w:b/>
          <w:bCs/>
        </w:rPr>
        <w:t xml:space="preserve">Testing Standards</w:t>
      </w:r>
      <w:r>
        <w:t xml:space="preserve">: Automated test suites must include functional, performance, and regression testing.</w:t>
      </w:r>
    </w:p>
    <w:p>
      <w:pPr>
        <w:pStyle w:val="ListParagraph"/>
        <w:numPr>
          <w:ilvl w:val="0"/>
          <w:numId w:val="1"/>
        </w:numPr>
        <w:spacing w:after="100"/>
      </w:pPr>
      <w:r>
        <w:rPr>
          <w:b/>
          <w:bCs/>
        </w:rPr>
        <w:t xml:space="preserve">Code Reviews</w:t>
      </w:r>
      <w:r>
        <w:t xml:space="preserve">: All code changes must undergo peer review as part of the CI pipeline, with mandatory quality gates enforced.</w:t>
      </w:r>
    </w:p>
    <w:p>
      <w:pPr>
        <w:pStyle w:val="ListParagraph"/>
        <w:numPr>
          <w:ilvl w:val="0"/>
          <w:numId w:val="1"/>
        </w:numPr>
        <w:spacing w:after="100"/>
      </w:pPr>
      <w:r>
        <w:rPr>
          <w:b/>
          <w:bCs/>
        </w:rPr>
        <w:t xml:space="preserve">Static Code Analysis</w:t>
      </w:r>
      <w:r>
        <w:t xml:space="preserve">: Tools like SonarQube must be used to ensure adherence to coding standards and detect code smells.</w:t>
      </w:r>
    </w:p>
    <w:p>
      <w:pPr>
        <w:pStyle w:val="ListParagraph"/>
        <w:numPr>
          <w:ilvl w:val="0"/>
          <w:numId w:val="1"/>
        </w:numPr>
        <w:spacing w:after="100"/>
      </w:pPr>
      <w:r>
        <w:rPr>
          <w:b/>
          <w:bCs/>
        </w:rPr>
        <w:t xml:space="preserve">Security Scanning</w:t>
      </w:r>
      <w:r>
        <w:t xml:space="preserve">: Include static (SAST) and dynamic (DAST) application security testing in the pipeline to identify vulnerabilities.</w:t>
      </w:r>
    </w:p>
    <w:p>
      <w:pPr>
        <w:pStyle w:val="ListParagraph"/>
        <w:numPr>
          <w:ilvl w:val="0"/>
          <w:numId w:val="1"/>
        </w:numPr>
        <w:spacing w:after="100"/>
      </w:pPr>
      <w:r>
        <w:rPr>
          <w:b/>
          <w:bCs/>
        </w:rPr>
        <w:t xml:space="preserve">Performance Testing</w:t>
      </w:r>
      <w:r>
        <w:t xml:space="preserve">: Conduct load testing to ensure the system can handle a minimum of 10x the peak case volume (500,000 cases/month).</w:t>
      </w:r>
    </w:p>
    <w:p>
      <w:pPr>
        <w:pStyle w:val="Heading5"/>
        <w:spacing w:before="200" w:after="150"/>
      </w:pPr>
      <w:r>
        <w:t xml:space="preserve">4. Observability &amp; Monitoring</w:t>
      </w:r>
    </w:p>
    <w:p>
      <w:pPr>
        <w:spacing w:after="200"/>
      </w:pPr>
      <w:r>
        <w:t xml:space="preserve">Implement comprehensive observability to ensure system health and performance:</w:t>
      </w:r>
    </w:p>
    <w:p>
      <w:pPr>
        <w:pStyle w:val="ListParagraph"/>
        <w:numPr>
          <w:ilvl w:val="0"/>
          <w:numId w:val="1"/>
        </w:numPr>
        <w:spacing w:after="100"/>
      </w:pPr>
      <w:r>
        <w:rPr>
          <w:b/>
          <w:bCs/>
        </w:rPr>
        <w:t xml:space="preserve">Logging Standards</w:t>
      </w:r>
      <w:r>
        <w:t xml:space="preserve">: Use structured logging formats (e.g., JSON) and include key metadata such as timestamps, correlation IDs, and service names.</w:t>
      </w:r>
    </w:p>
    <w:p>
      <w:pPr>
        <w:pStyle w:val="ListParagraph"/>
        <w:numPr>
          <w:ilvl w:val="0"/>
          <w:numId w:val="1"/>
        </w:numPr>
        <w:spacing w:after="100"/>
      </w:pPr>
      <w:r>
        <w:rPr>
          <w:b/>
          <w:bCs/>
        </w:rPr>
        <w:t xml:space="preserve">Metrics</w:t>
      </w:r>
      <w:r>
        <w:t xml:space="preserve">: The system must expose key performance indicators (KPIs) such as SLA compliance, case resolution times, and API response times via monitoring tools (e.g., Prometheus, Grafana).</w:t>
      </w:r>
    </w:p>
    <w:p>
      <w:pPr>
        <w:pStyle w:val="ListParagraph"/>
        <w:numPr>
          <w:ilvl w:val="0"/>
          <w:numId w:val="1"/>
        </w:numPr>
        <w:spacing w:after="100"/>
      </w:pPr>
      <w:r>
        <w:rPr>
          <w:b/>
          <w:bCs/>
        </w:rPr>
        <w:t xml:space="preserve">Distributed Tracing</w:t>
      </w:r>
      <w:r>
        <w:t xml:space="preserve">: Enable distributed tracing across all microservices using OpenTelemetry to identify bottlenecks.</w:t>
      </w:r>
    </w:p>
    <w:p>
      <w:pPr>
        <w:pStyle w:val="ListParagraph"/>
        <w:numPr>
          <w:ilvl w:val="0"/>
          <w:numId w:val="1"/>
        </w:numPr>
        <w:spacing w:after="100"/>
      </w:pPr>
      <w:r>
        <w:rPr>
          <w:b/>
          <w:bCs/>
        </w:rPr>
        <w:t xml:space="preserve">Alerting</w:t>
      </w:r>
      <w:r>
        <w:t xml:space="preserve">: Configurable alerting mechanisms must notify operations teams of SLA breaches, high error rates, or infrastructure issues.</w:t>
      </w:r>
    </w:p>
    <w:p>
      <w:pPr>
        <w:pStyle w:val="ListParagraph"/>
        <w:numPr>
          <w:ilvl w:val="0"/>
          <w:numId w:val="1"/>
        </w:numPr>
        <w:spacing w:after="100"/>
      </w:pPr>
      <w:r>
        <w:rPr>
          <w:b/>
          <w:bCs/>
        </w:rPr>
        <w:t xml:space="preserve">Dashboards</w:t>
      </w:r>
      <w:r>
        <w:t xml:space="preserve">: Provide pre-configured dashboards for real-time system monitoring and reporting.</w:t>
      </w:r>
    </w:p>
    <w:p>
      <w:pPr>
        <w:pStyle w:val="Heading5"/>
        <w:spacing w:before="200" w:after="150"/>
      </w:pPr>
      <w:r>
        <w:t xml:space="preserve">5. CI/CD &amp; DevOps Practices</w:t>
      </w:r>
    </w:p>
    <w:p>
      <w:pPr>
        <w:spacing w:after="200"/>
      </w:pPr>
      <w:r>
        <w:t xml:space="preserve">Adopt robust CI/CD practices to ensure seamless delivery and operational excellence:</w:t>
      </w:r>
    </w:p>
    <w:p>
      <w:pPr>
        <w:pStyle w:val="ListParagraph"/>
        <w:numPr>
          <w:ilvl w:val="0"/>
          <w:numId w:val="1"/>
        </w:numPr>
        <w:spacing w:after="100"/>
      </w:pPr>
      <w:r>
        <w:rPr>
          <w:b/>
          <w:bCs/>
        </w:rPr>
        <w:t xml:space="preserve">Continuous Integration</w:t>
      </w:r>
      <w:r>
        <w:t xml:space="preserve">: CI pipelines must include automated tests for unit, integration, and security scans.</w:t>
      </w:r>
    </w:p>
    <w:p>
      <w:pPr>
        <w:pStyle w:val="ListParagraph"/>
        <w:numPr>
          <w:ilvl w:val="0"/>
          <w:numId w:val="1"/>
        </w:numPr>
        <w:spacing w:after="100"/>
      </w:pPr>
      <w:r>
        <w:rPr>
          <w:b/>
          <w:bCs/>
        </w:rPr>
        <w:t xml:space="preserve">Deployment Automation</w:t>
      </w:r>
      <w:r>
        <w:t xml:space="preserve">: Implement blue-green and canary deployment strategies for zero-downtime updates.</w:t>
      </w:r>
    </w:p>
    <w:p>
      <w:pPr>
        <w:pStyle w:val="ListParagraph"/>
        <w:numPr>
          <w:ilvl w:val="0"/>
          <w:numId w:val="1"/>
        </w:numPr>
        <w:spacing w:after="100"/>
      </w:pPr>
      <w:r>
        <w:rPr>
          <w:b/>
          <w:bCs/>
        </w:rPr>
        <w:t xml:space="preserve">Rollbacks</w:t>
      </w:r>
      <w:r>
        <w:t xml:space="preserve">: Automated rollback capabilities must be implemented to revert to a stable state if deployments fail.</w:t>
      </w:r>
    </w:p>
    <w:p>
      <w:pPr>
        <w:pStyle w:val="ListParagraph"/>
        <w:numPr>
          <w:ilvl w:val="0"/>
          <w:numId w:val="1"/>
        </w:numPr>
        <w:spacing w:after="100"/>
      </w:pPr>
      <w:r>
        <w:rPr>
          <w:b/>
          <w:bCs/>
        </w:rPr>
        <w:t xml:space="preserve">Infrastructure as Code (IaC)</w:t>
      </w:r>
      <w:r>
        <w:t xml:space="preserve">: Use IaC tools like Terraform or CloudFormation for environment provisioning and management.</w:t>
      </w:r>
    </w:p>
    <w:p>
      <w:pPr>
        <w:pStyle w:val="ListParagraph"/>
        <w:numPr>
          <w:ilvl w:val="0"/>
          <w:numId w:val="1"/>
        </w:numPr>
        <w:spacing w:after="100"/>
      </w:pPr>
      <w:r>
        <w:rPr>
          <w:b/>
          <w:bCs/>
        </w:rPr>
        <w:t xml:space="preserve">Environment Management</w:t>
      </w:r>
      <w:r>
        <w:t xml:space="preserve">: Maintain isolated environments for development, staging, and production, ensuring parity.</w:t>
      </w:r>
    </w:p>
    <w:p>
      <w:pPr>
        <w:pStyle w:val="Heading5"/>
        <w:spacing w:before="200" w:after="150"/>
      </w:pPr>
      <w:r>
        <w:t xml:space="preserve">6. System Reliability Engineering (SRE)</w:t>
      </w:r>
    </w:p>
    <w:p>
      <w:pPr>
        <w:spacing w:after="200"/>
      </w:pPr>
      <w:r>
        <w:t xml:space="preserve">Ensure operational excellence and reliability through SRE practices:</w:t>
      </w:r>
    </w:p>
    <w:p>
      <w:pPr>
        <w:pStyle w:val="ListParagraph"/>
        <w:numPr>
          <w:ilvl w:val="0"/>
          <w:numId w:val="1"/>
        </w:numPr>
        <w:spacing w:after="100"/>
      </w:pPr>
      <w:r>
        <w:rPr>
          <w:b/>
          <w:bCs/>
        </w:rPr>
        <w:t xml:space="preserve">SLA Commitments</w:t>
      </w:r>
      <w:r>
        <w:t xml:space="preserve">: The system must meet a 99.9% uptime SLA and support a 5-day average case resolution target.</w:t>
      </w:r>
    </w:p>
    <w:p>
      <w:pPr>
        <w:pStyle w:val="ListParagraph"/>
        <w:numPr>
          <w:ilvl w:val="0"/>
          <w:numId w:val="1"/>
        </w:numPr>
        <w:spacing w:after="100"/>
      </w:pPr>
      <w:r>
        <w:rPr>
          <w:b/>
          <w:bCs/>
        </w:rPr>
        <w:t xml:space="preserve">Error Budgets</w:t>
      </w:r>
      <w:r>
        <w:t xml:space="preserve">: Implement error budgets to balance reliability with innovation.</w:t>
      </w:r>
    </w:p>
    <w:p>
      <w:pPr>
        <w:pStyle w:val="ListParagraph"/>
        <w:numPr>
          <w:ilvl w:val="0"/>
          <w:numId w:val="1"/>
        </w:numPr>
        <w:spacing w:after="100"/>
      </w:pPr>
      <w:r>
        <w:rPr>
          <w:b/>
          <w:bCs/>
        </w:rPr>
        <w:t xml:space="preserve">Incident Response</w:t>
      </w:r>
      <w:r>
        <w:t xml:space="preserve">: Define incident management workflows with root cause analysis (RCA) and postmortem documentation.</w:t>
      </w:r>
    </w:p>
    <w:p>
      <w:pPr>
        <w:pStyle w:val="ListParagraph"/>
        <w:numPr>
          <w:ilvl w:val="0"/>
          <w:numId w:val="1"/>
        </w:numPr>
        <w:spacing w:after="100"/>
      </w:pPr>
      <w:r>
        <w:rPr>
          <w:b/>
          <w:bCs/>
        </w:rPr>
        <w:t xml:space="preserve">Capacity Planning</w:t>
      </w:r>
      <w:r>
        <w:t xml:space="preserve">: Design the system for auto-scaling to handle peak loads with 2x redundancy.</w:t>
      </w:r>
    </w:p>
    <w:p>
      <w:pPr>
        <w:pStyle w:val="ListParagraph"/>
        <w:numPr>
          <w:ilvl w:val="0"/>
          <w:numId w:val="1"/>
        </w:numPr>
        <w:spacing w:after="100"/>
      </w:pPr>
      <w:r>
        <w:rPr>
          <w:b/>
          <w:bCs/>
        </w:rPr>
        <w:t xml:space="preserve">Chaos Engineering</w:t>
      </w:r>
      <w:r>
        <w:t xml:space="preserve">: Perform regular chaos testing to identify system weaknesses and improve resilience.</w:t>
      </w:r>
    </w:p>
    <w:p>
      <w:pPr>
        <w:pStyle w:val="ListParagraph"/>
        <w:numPr>
          <w:ilvl w:val="0"/>
          <w:numId w:val="1"/>
        </w:numPr>
        <w:spacing w:after="100"/>
      </w:pPr>
      <w:r>
        <w:rPr>
          <w:b/>
          <w:bCs/>
        </w:rPr>
        <w:t xml:space="preserve">Disaster Recovery</w:t>
      </w:r>
      <w:r>
        <w:t xml:space="preserve">: Implement disaster recovery plans with RTO &lt; 4 hours and RPO &lt; 1 hour.</w:t>
      </w:r>
    </w:p>
    <w:p>
      <w:pPr>
        <w:pStyle w:val="Heading5"/>
        <w:spacing w:before="200" w:after="150"/>
      </w:pPr>
      <w:r>
        <w:t xml:space="preserve">Compliance with Organizational Standards</w:t>
      </w:r>
    </w:p>
    <w:p>
      <w:pPr>
        <w:spacing w:after="200"/>
      </w:pPr>
      <w:r>
        <w:t xml:space="preserve">To align with Emirates Group’s architecture principles:</w:t>
      </w:r>
    </w:p>
    <w:p>
      <w:pPr>
        <w:pStyle w:val="ListParagraph"/>
        <w:numPr>
          <w:ilvl w:val="0"/>
          <w:numId w:val="1"/>
        </w:numPr>
        <w:spacing w:after="100"/>
      </w:pPr>
      <w:r>
        <w:rPr>
          <w:b/>
          <w:bCs/>
        </w:rPr>
        <w:t xml:space="preserve">Evolutionary Design</w:t>
      </w:r>
      <w:r>
        <w:t xml:space="preserve">: The platform must support agile and evolutionary design to accommodate future requirements.</w:t>
      </w:r>
    </w:p>
    <w:p>
      <w:pPr>
        <w:pStyle w:val="ListParagraph"/>
        <w:numPr>
          <w:ilvl w:val="0"/>
          <w:numId w:val="1"/>
        </w:numPr>
        <w:spacing w:after="100"/>
      </w:pPr>
      <w:r>
        <w:rPr>
          <w:b/>
          <w:bCs/>
        </w:rPr>
        <w:t xml:space="preserve">Data Sharing with EDP</w:t>
      </w:r>
      <w:r>
        <w:t xml:space="preserve">: All transactional data and state change events must integrate with the Enterprise Data Platform (EDP). Historical data analytics must leverage EDP to avoid redundancy.</w:t>
      </w:r>
    </w:p>
    <w:p>
      <w:pPr>
        <w:pStyle w:val="ListParagraph"/>
        <w:numPr>
          <w:ilvl w:val="0"/>
          <w:numId w:val="1"/>
        </w:numPr>
        <w:spacing w:after="100"/>
      </w:pPr>
      <w:r>
        <w:rPr>
          <w:b/>
          <w:bCs/>
        </w:rPr>
        <w:t xml:space="preserve">Security &amp; Privacy</w:t>
      </w:r>
      <w:r>
        <w:t xml:space="preserve">: The system must comply with GDPR, PCI-DSS, and Emirates Group’s cybersecurity policies for data classification and residency.</w:t>
      </w:r>
    </w:p>
    <w:p>
      <w:pPr>
        <w:pStyle w:val="ListParagraph"/>
        <w:numPr>
          <w:ilvl w:val="0"/>
          <w:numId w:val="1"/>
        </w:numPr>
        <w:spacing w:after="100"/>
      </w:pPr>
      <w:r>
        <w:rPr>
          <w:b/>
          <w:bCs/>
        </w:rPr>
        <w:t xml:space="preserve">Operational Excellence</w:t>
      </w:r>
      <w:r>
        <w:t xml:space="preserve">: Fully implement DevSecOps practices, automation, and observability frameworks as per organizational standards.</w:t>
      </w:r>
    </w:p>
    <w:p>
      <w:pPr>
        <w:pStyle w:val="ListParagraph"/>
        <w:numPr>
          <w:ilvl w:val="0"/>
          <w:numId w:val="1"/>
        </w:numPr>
        <w:spacing w:after="100"/>
      </w:pPr>
      <w:r>
        <w:rPr>
          <w:b/>
          <w:bCs/>
        </w:rPr>
        <w:t xml:space="preserve">Resiliency &amp; Elasticity</w:t>
      </w:r>
      <w:r>
        <w:t xml:space="preserve">: Ensure the system is highly resilient, elastic, and capable of handling anticipated failures in both private and public cloud environments.</w:t>
      </w:r>
    </w:p>
    <w:p>
      <w:pPr>
        <w:spacing w:after="200"/>
      </w:pPr>
      <w:r>
        <w:t xml:space="preserve">---</w:t>
      </w:r>
    </w:p>
    <w:p>
      <w:pPr>
        <w:spacing w:after="400"/>
      </w:pPr>
    </w:p>
    <w:p>
      <w:pPr>
        <w:pStyle w:val="Heading1"/>
        <w:spacing w:before="400" w:after="200"/>
      </w:pPr>
      <w:r>
        <w:t xml:space="preserve">Security &amp; Compliance Requirements</w:t>
      </w:r>
    </w:p>
    <w:p>
      <w:pPr>
        <w:pStyle w:val="Heading4"/>
        <w:spacing w:before="200" w:after="150"/>
      </w:pPr>
      <w:r>
        <w:t xml:space="preserve">Security &amp; Compliance Requirements for the Enterprise Case Management System</w:t>
      </w:r>
    </w:p>
    <w:p>
      <w:pPr>
        <w:pStyle w:val="Heading5"/>
        <w:spacing w:before="200" w:after="150"/>
      </w:pPr>
      <w:r>
        <w:t xml:space="preserve">1. Compliance &amp; Certification Requirements</w:t>
      </w:r>
    </w:p>
    <w:p>
      <w:pPr>
        <w:pStyle w:val="ListParagraph"/>
        <w:numPr>
          <w:ilvl w:val="0"/>
          <w:numId w:val="1"/>
        </w:numPr>
        <w:spacing w:after="100"/>
      </w:pPr>
      <w:r>
        <w:rPr>
          <w:b/>
          <w:bCs/>
        </w:rPr>
        <w:t xml:space="preserve">Certifications:</w:t>
      </w:r>
      <w:r>
        <w:t xml:space="preserve"> Vendors must hold internationally recognized certifications including ISO 27001 (Information Security Management), PCI-DSS Level 1 (for systems handling payment card information), and SOC 2 Type II (for cloud-based services).</w:t>
      </w:r>
    </w:p>
    <w:p>
      <w:pPr>
        <w:pStyle w:val="ListParagraph"/>
        <w:numPr>
          <w:ilvl w:val="0"/>
          <w:numId w:val="1"/>
        </w:numPr>
        <w:spacing w:after="100"/>
      </w:pPr>
      <w:r>
        <w:rPr>
          <w:b/>
          <w:bCs/>
        </w:rPr>
        <w:t xml:space="preserve">Regulatory Compliance:</w:t>
      </w:r>
      <w:r>
        <w:t xml:space="preserve"> The solution must comply with jurisdiction-specific regulations including GDPR (General Data Protection Regulation) for EU-based passengers and CCPA (California Consumer Privacy Act) for California residents. Vendors must demonstrate adherence to data residency laws applicable to regions where data is processed or stored. </w:t>
      </w:r>
    </w:p>
    <w:p>
      <w:pPr>
        <w:pStyle w:val="ListParagraph"/>
        <w:numPr>
          <w:ilvl w:val="0"/>
          <w:numId w:val="1"/>
        </w:numPr>
        <w:spacing w:after="100"/>
      </w:pPr>
      <w:r>
        <w:rPr>
          <w:b/>
          <w:bCs/>
        </w:rPr>
        <w:t xml:space="preserve">Industry Standards:</w:t>
      </w:r>
      <w:r>
        <w:t xml:space="preserve"> The solution must conform to the NIST Cybersecurity Framework, specifically focusing on identity management, data protection, and continuous monitoring.</w:t>
      </w:r>
    </w:p>
    <w:p>
      <w:pPr>
        <w:pStyle w:val="ListParagraph"/>
        <w:numPr>
          <w:ilvl w:val="0"/>
          <w:numId w:val="1"/>
        </w:numPr>
        <w:spacing w:after="100"/>
      </w:pPr>
      <w:r>
        <w:rPr>
          <w:b/>
          <w:bCs/>
        </w:rPr>
        <w:t xml:space="preserve">Audit &amp; Attestation:</w:t>
      </w:r>
      <w:r>
        <w:t xml:space="preserve"> Vendors must provide annual third-party audits demonstrating adherence to the above compliance frameworks. Audit reports must include penetration testing results, vulnerability assessments, and risk remediation strategies.</w:t>
      </w:r>
    </w:p>
    <w:p>
      <w:pPr>
        <w:pStyle w:val="Heading5"/>
        <w:spacing w:before="200" w:after="150"/>
      </w:pPr>
      <w:r>
        <w:t xml:space="preserve">2. Data Protection &amp; Encryption</w:t>
      </w:r>
    </w:p>
    <w:p>
      <w:pPr>
        <w:pStyle w:val="ListParagraph"/>
        <w:numPr>
          <w:ilvl w:val="0"/>
          <w:numId w:val="1"/>
        </w:numPr>
        <w:spacing w:after="100"/>
      </w:pPr>
      <w:r>
        <w:rPr>
          <w:b/>
          <w:bCs/>
        </w:rPr>
        <w:t xml:space="preserve">Encryption Standards:</w:t>
      </w:r>
      <w:r>
        <w:t xml:space="preserve"> All data at-rest must be encrypted using AES-256, while data in-transit must use TLS 1.3. Sensitive data in-use must utilize secure enclave or memory encryption technologies where applicable.</w:t>
      </w:r>
    </w:p>
    <w:p>
      <w:pPr>
        <w:pStyle w:val="ListParagraph"/>
        <w:numPr>
          <w:ilvl w:val="0"/>
          <w:numId w:val="1"/>
        </w:numPr>
        <w:spacing w:after="100"/>
      </w:pPr>
      <w:r>
        <w:rPr>
          <w:b/>
          <w:bCs/>
        </w:rPr>
        <w:t xml:space="preserve">Key Management:</w:t>
      </w:r>
      <w:r>
        <w:t xml:space="preserve"> Vendors must use industry-standard Hardware Security Modules (HSM) or cloud-based Key Management Systems (KMS) for key generation, storage, and rotation. Key rotation policies must be automated and comply with organizational standards.</w:t>
      </w:r>
    </w:p>
    <w:p>
      <w:pPr>
        <w:pStyle w:val="ListParagraph"/>
        <w:numPr>
          <w:ilvl w:val="0"/>
          <w:numId w:val="1"/>
        </w:numPr>
        <w:spacing w:after="100"/>
      </w:pPr>
      <w:r>
        <w:rPr>
          <w:b/>
          <w:bCs/>
        </w:rPr>
        <w:t xml:space="preserve">Data Classification:</w:t>
      </w:r>
      <w:r>
        <w:t xml:space="preserve"> Vendors must implement robust data classification and handling policies aligned with the Emirates Group Information Classification Standard 8.0. Classified data such as payment card information, personal passenger details, and regulatory compliance records must be stored in 'Secret' or 'Confidential' tiers.</w:t>
      </w:r>
    </w:p>
    <w:p>
      <w:pPr>
        <w:pStyle w:val="ListParagraph"/>
        <w:numPr>
          <w:ilvl w:val="0"/>
          <w:numId w:val="1"/>
        </w:numPr>
        <w:spacing w:after="100"/>
      </w:pPr>
      <w:r>
        <w:rPr>
          <w:b/>
          <w:bCs/>
        </w:rPr>
        <w:t xml:space="preserve">Data Residency:</w:t>
      </w:r>
      <w:r>
        <w:t xml:space="preserve"> Data must be stored in regions compliant with applicable laws and regulatory requirements. Vendors must provide a documented data residency map and ensure no unauthorized cross-border data flows.</w:t>
      </w:r>
    </w:p>
    <w:p>
      <w:pPr>
        <w:pStyle w:val="ListParagraph"/>
        <w:numPr>
          <w:ilvl w:val="0"/>
          <w:numId w:val="1"/>
        </w:numPr>
        <w:spacing w:after="100"/>
      </w:pPr>
      <w:r>
        <w:rPr>
          <w:b/>
          <w:bCs/>
        </w:rPr>
        <w:t xml:space="preserve">PII and Sensitive Data Protection:</w:t>
      </w:r>
      <w:r>
        <w:t xml:space="preserve"> Personally Identifiable Information (PII) and payment card information must be masked, tokenized, or encrypted in all non-production environments and during transmission.</w:t>
      </w:r>
    </w:p>
    <w:p>
      <w:pPr>
        <w:pStyle w:val="Heading5"/>
        <w:spacing w:before="200" w:after="150"/>
      </w:pPr>
      <w:r>
        <w:t xml:space="preserve">3. Identity &amp; Access Management</w:t>
      </w:r>
    </w:p>
    <w:p>
      <w:pPr>
        <w:pStyle w:val="ListParagraph"/>
        <w:numPr>
          <w:ilvl w:val="0"/>
          <w:numId w:val="1"/>
        </w:numPr>
        <w:spacing w:after="100"/>
      </w:pPr>
      <w:r>
        <w:rPr>
          <w:b/>
          <w:bCs/>
        </w:rPr>
        <w:t xml:space="preserve">Authentication Requirements:</w:t>
      </w:r>
      <w:r>
        <w:t xml:space="preserve"> Multi-Factor Authentication (MFA) is mandatory for all user access, including privileged accounts. Single Sign-On (SSO) must be integrated with the Emirates Group identity provider.</w:t>
      </w:r>
    </w:p>
    <w:p>
      <w:pPr>
        <w:pStyle w:val="ListParagraph"/>
        <w:numPr>
          <w:ilvl w:val="0"/>
          <w:numId w:val="1"/>
        </w:numPr>
        <w:spacing w:after="100"/>
      </w:pPr>
      <w:r>
        <w:rPr>
          <w:b/>
          <w:bCs/>
        </w:rPr>
        <w:t xml:space="preserve">Authorization Models:</w:t>
      </w:r>
      <w:r>
        <w:t xml:space="preserve"> The solution must implement Role-Based Access Control (RBAC) and Attribute-Based Access Control (ABAC), ensuring least-privilege access to sensitive data.</w:t>
      </w:r>
    </w:p>
    <w:p>
      <w:pPr>
        <w:pStyle w:val="ListParagraph"/>
        <w:numPr>
          <w:ilvl w:val="0"/>
          <w:numId w:val="1"/>
        </w:numPr>
        <w:spacing w:after="100"/>
      </w:pPr>
      <w:r>
        <w:rPr>
          <w:b/>
          <w:bCs/>
        </w:rPr>
        <w:t xml:space="preserve">Privileged Access Management (PAM):</w:t>
      </w:r>
      <w:r>
        <w:t xml:space="preserve"> Privileged accounts must be secured using PAM solutions with session recording and activity monitoring enabled.</w:t>
      </w:r>
    </w:p>
    <w:p>
      <w:pPr>
        <w:pStyle w:val="ListParagraph"/>
        <w:numPr>
          <w:ilvl w:val="0"/>
          <w:numId w:val="1"/>
        </w:numPr>
        <w:spacing w:after="100"/>
      </w:pPr>
      <w:r>
        <w:rPr>
          <w:b/>
          <w:bCs/>
        </w:rPr>
        <w:t xml:space="preserve">Session Management:</w:t>
      </w:r>
      <w:r>
        <w:t xml:space="preserve"> User sessions must be securely managed with configurable timeout policies. Session data must be encrypted.</w:t>
      </w:r>
    </w:p>
    <w:p>
      <w:pPr>
        <w:pStyle w:val="ListParagraph"/>
        <w:numPr>
          <w:ilvl w:val="0"/>
          <w:numId w:val="1"/>
        </w:numPr>
        <w:spacing w:after="100"/>
      </w:pPr>
      <w:r>
        <w:rPr>
          <w:b/>
          <w:bCs/>
        </w:rPr>
        <w:t xml:space="preserve">API Security:</w:t>
      </w:r>
      <w:r>
        <w:t xml:space="preserve"> APIs must require authentication and authorization using OAuth 2.0 or equivalent, with rate limiting and input validation to prevent abuse or injection attacks.</w:t>
      </w:r>
    </w:p>
    <w:p>
      <w:pPr>
        <w:pStyle w:val="Heading5"/>
        <w:spacing w:before="200" w:after="150"/>
      </w:pPr>
      <w:r>
        <w:t xml:space="preserve">4. Security Monitoring &amp; Incident Response</w:t>
      </w:r>
    </w:p>
    <w:p>
      <w:pPr>
        <w:pStyle w:val="ListParagraph"/>
        <w:numPr>
          <w:ilvl w:val="0"/>
          <w:numId w:val="1"/>
        </w:numPr>
        <w:spacing w:after="100"/>
      </w:pPr>
      <w:r>
        <w:rPr>
          <w:b/>
          <w:bCs/>
        </w:rPr>
        <w:t xml:space="preserve">SIEM &amp; SOC:</w:t>
      </w:r>
      <w:r>
        <w:t xml:space="preserve"> Vendors must implement a Security Information and Event Management (SIEM) system integrated with a 24/7 Security Operations Center (SOC). Logs must be retained for a minimum of 12 months for forensic analysis.</w:t>
      </w:r>
    </w:p>
    <w:p>
      <w:pPr>
        <w:pStyle w:val="ListParagraph"/>
        <w:numPr>
          <w:ilvl w:val="0"/>
          <w:numId w:val="1"/>
        </w:numPr>
        <w:spacing w:after="100"/>
      </w:pPr>
      <w:r>
        <w:rPr>
          <w:b/>
          <w:bCs/>
        </w:rPr>
        <w:t xml:space="preserve">Threat Detection:</w:t>
      </w:r>
      <w:r>
        <w:t xml:space="preserve"> Solutions must incorporate advanced threat detection and prevention capabilities, including anomaly detection, behavioral analytics, and machine learning models.</w:t>
      </w:r>
    </w:p>
    <w:p>
      <w:pPr>
        <w:pStyle w:val="ListParagraph"/>
        <w:numPr>
          <w:ilvl w:val="0"/>
          <w:numId w:val="1"/>
        </w:numPr>
        <w:spacing w:after="100"/>
      </w:pPr>
      <w:r>
        <w:rPr>
          <w:b/>
          <w:bCs/>
        </w:rPr>
        <w:t xml:space="preserve">Intrusion Detection/Prevention:</w:t>
      </w:r>
      <w:r>
        <w:t xml:space="preserve"> IDS/IPS systems must be deployed to identify and block unauthorized access attempts.</w:t>
      </w:r>
    </w:p>
    <w:p>
      <w:pPr>
        <w:pStyle w:val="ListParagraph"/>
        <w:numPr>
          <w:ilvl w:val="0"/>
          <w:numId w:val="1"/>
        </w:numPr>
        <w:spacing w:after="100"/>
      </w:pPr>
      <w:r>
        <w:rPr>
          <w:b/>
          <w:bCs/>
        </w:rPr>
        <w:t xml:space="preserve">Incident Response Procedures:</w:t>
      </w:r>
      <w:r>
        <w:t xml:space="preserve"> Vendors must provide documented incident response plans that align with Emirates Group standards, including defined SLAs for notifying the organization within 2 hours of a security event.</w:t>
      </w:r>
    </w:p>
    <w:p>
      <w:pPr>
        <w:pStyle w:val="ListParagraph"/>
        <w:numPr>
          <w:ilvl w:val="0"/>
          <w:numId w:val="1"/>
        </w:numPr>
        <w:spacing w:after="100"/>
      </w:pPr>
      <w:r>
        <w:rPr>
          <w:b/>
          <w:bCs/>
        </w:rPr>
        <w:t xml:space="preserve">Audit Trail:</w:t>
      </w:r>
      <w:r>
        <w:t xml:space="preserve"> All security events must be logged with immutable audit trails and accessible for regulatory compliance audits.</w:t>
      </w:r>
    </w:p>
    <w:p>
      <w:pPr>
        <w:pStyle w:val="Heading5"/>
        <w:spacing w:before="200" w:after="150"/>
      </w:pPr>
      <w:r>
        <w:t xml:space="preserve">5. Vulnerability Management</w:t>
      </w:r>
    </w:p>
    <w:p>
      <w:pPr>
        <w:pStyle w:val="ListParagraph"/>
        <w:numPr>
          <w:ilvl w:val="0"/>
          <w:numId w:val="1"/>
        </w:numPr>
        <w:spacing w:after="100"/>
      </w:pPr>
      <w:r>
        <w:rPr>
          <w:b/>
          <w:bCs/>
        </w:rPr>
        <w:t xml:space="preserve">Penetration Testing:</w:t>
      </w:r>
      <w:r>
        <w:t xml:space="preserve"> Vendors must conduct annual penetration testing, with results shared with Emirates Group for review.</w:t>
      </w:r>
    </w:p>
    <w:p>
      <w:pPr>
        <w:pStyle w:val="ListParagraph"/>
        <w:numPr>
          <w:ilvl w:val="0"/>
          <w:numId w:val="1"/>
        </w:numPr>
        <w:spacing w:after="100"/>
      </w:pPr>
      <w:r>
        <w:rPr>
          <w:b/>
          <w:bCs/>
        </w:rPr>
        <w:t xml:space="preserve">Vulnerability Scanning:</w:t>
      </w:r>
      <w:r>
        <w:t xml:space="preserve"> Regular vulnerability scanning must be performed on all systems and integrated components, with high-risk findings remediated within 7 days.</w:t>
      </w:r>
    </w:p>
    <w:p>
      <w:pPr>
        <w:pStyle w:val="ListParagraph"/>
        <w:numPr>
          <w:ilvl w:val="0"/>
          <w:numId w:val="1"/>
        </w:numPr>
        <w:spacing w:after="100"/>
      </w:pPr>
      <w:r>
        <w:rPr>
          <w:b/>
          <w:bCs/>
        </w:rPr>
        <w:t xml:space="preserve">Bug Bounty Program:</w:t>
      </w:r>
      <w:r>
        <w:t xml:space="preserve"> Vendors are encouraged to establish a responsible disclosure or bug bounty program to identify vulnerabilities proactively.</w:t>
      </w:r>
    </w:p>
    <w:p>
      <w:pPr>
        <w:pStyle w:val="ListParagraph"/>
        <w:numPr>
          <w:ilvl w:val="0"/>
          <w:numId w:val="1"/>
        </w:numPr>
        <w:spacing w:after="100"/>
      </w:pPr>
      <w:r>
        <w:rPr>
          <w:b/>
          <w:bCs/>
        </w:rPr>
        <w:t xml:space="preserve">CVE Response Time SLAs:</w:t>
      </w:r>
      <w:r>
        <w:t xml:space="preserve"> Critical vulnerabilities (CVSS score ≥7.0) must be patched within 72 hours of disclosure.</w:t>
      </w:r>
    </w:p>
    <w:p>
      <w:pPr>
        <w:pStyle w:val="ListParagraph"/>
        <w:numPr>
          <w:ilvl w:val="0"/>
          <w:numId w:val="1"/>
        </w:numPr>
        <w:spacing w:after="100"/>
      </w:pPr>
      <w:r>
        <w:rPr>
          <w:b/>
          <w:bCs/>
        </w:rPr>
        <w:t xml:space="preserve">Security Updates:</w:t>
      </w:r>
      <w:r>
        <w:t xml:space="preserve"> Vendors must provide a documented process for deploying security updates, including rollback procedures in case of failure.</w:t>
      </w:r>
    </w:p>
    <w:p>
      <w:pPr>
        <w:pStyle w:val="Heading5"/>
        <w:spacing w:before="200" w:after="150"/>
      </w:pPr>
      <w:r>
        <w:t xml:space="preserve">6. Application Security</w:t>
      </w:r>
    </w:p>
    <w:p>
      <w:pPr>
        <w:pStyle w:val="ListParagraph"/>
        <w:numPr>
          <w:ilvl w:val="0"/>
          <w:numId w:val="1"/>
        </w:numPr>
        <w:spacing w:after="100"/>
      </w:pPr>
      <w:r>
        <w:rPr>
          <w:b/>
          <w:bCs/>
        </w:rPr>
        <w:t xml:space="preserve">Secure SDLC:</w:t>
      </w:r>
      <w:r>
        <w:t xml:space="preserve"> Vendors must adhere to Secure Software Development Lifecycle (SDLC) practices, including threat modeling, secure coding standards, and periodic security code reviews.</w:t>
      </w:r>
    </w:p>
    <w:p>
      <w:pPr>
        <w:pStyle w:val="ListParagraph"/>
        <w:numPr>
          <w:ilvl w:val="0"/>
          <w:numId w:val="1"/>
        </w:numPr>
        <w:spacing w:after="100"/>
      </w:pPr>
      <w:r>
        <w:rPr>
          <w:b/>
          <w:bCs/>
        </w:rPr>
        <w:t xml:space="preserve">Code Scanning:</w:t>
      </w:r>
      <w:r>
        <w:t xml:space="preserve"> Static Application Security Testing (SAST), Dynamic Application Security Testing (DAST), and Software Composition Analysis (SCA) must be integrated into the CI/CD pipeline.</w:t>
      </w:r>
    </w:p>
    <w:p>
      <w:pPr>
        <w:pStyle w:val="ListParagraph"/>
        <w:numPr>
          <w:ilvl w:val="0"/>
          <w:numId w:val="1"/>
        </w:numPr>
        <w:spacing w:after="100"/>
      </w:pPr>
      <w:r>
        <w:rPr>
          <w:b/>
          <w:bCs/>
        </w:rPr>
        <w:t xml:space="preserve">Supply Chain Security:</w:t>
      </w:r>
      <w:r>
        <w:t xml:space="preserve"> Vendors must ensure third-party libraries and dependencies are vetted for vulnerabilities and updated regularly.</w:t>
      </w:r>
    </w:p>
    <w:p>
      <w:pPr>
        <w:pStyle w:val="ListParagraph"/>
        <w:numPr>
          <w:ilvl w:val="0"/>
          <w:numId w:val="1"/>
        </w:numPr>
        <w:spacing w:after="100"/>
      </w:pPr>
      <w:r>
        <w:rPr>
          <w:b/>
          <w:bCs/>
        </w:rPr>
        <w:t xml:space="preserve">API Security:</w:t>
      </w:r>
      <w:r>
        <w:t xml:space="preserve"> APIs must comply with OWASP API Security Top 10 standards, including rate limiting, input validation, and authentication.</w:t>
      </w:r>
    </w:p>
    <w:p>
      <w:pPr>
        <w:pStyle w:val="ListParagraph"/>
        <w:numPr>
          <w:ilvl w:val="0"/>
          <w:numId w:val="1"/>
        </w:numPr>
        <w:spacing w:after="100"/>
      </w:pPr>
      <w:r>
        <w:rPr>
          <w:b/>
          <w:bCs/>
        </w:rPr>
        <w:t xml:space="preserve">Secrets Management:</w:t>
      </w:r>
      <w:r>
        <w:t xml:space="preserve"> All application secrets must be stored securely in vaults or encrypted storage, with access controls applied.</w:t>
      </w:r>
    </w:p>
    <w:p>
      <w:pPr>
        <w:pStyle w:val="Heading5"/>
        <w:spacing w:before="200" w:after="150"/>
      </w:pPr>
      <w:r>
        <w:t xml:space="preserve">References to Organizational Standards</w:t>
      </w:r>
    </w:p>
    <w:p>
      <w:pPr>
        <w:pStyle w:val="ListParagraph"/>
        <w:numPr>
          <w:ilvl w:val="0"/>
          <w:numId w:val="1"/>
        </w:numPr>
        <w:spacing w:after="100"/>
      </w:pPr>
      <w:r>
        <w:rPr>
          <w:b/>
          <w:bCs/>
        </w:rPr>
        <w:t xml:space="preserve">Information Classification Standard:</w:t>
      </w:r>
      <w:r>
        <w:t xml:space="preserve"> Vendors must align with the Emirates Group Information Classification Standard 8.0 for handling classified data such as passenger information, payment card data, regulatory compliance records, and sensitive audit reports.</w:t>
      </w:r>
    </w:p>
    <w:p>
      <w:pPr>
        <w:pStyle w:val="ListParagraph"/>
        <w:numPr>
          <w:ilvl w:val="0"/>
          <w:numId w:val="1"/>
        </w:numPr>
        <w:spacing w:after="100"/>
      </w:pPr>
      <w:r>
        <w:rPr>
          <w:b/>
          <w:bCs/>
        </w:rPr>
        <w:t xml:space="preserve">Architecture Principles:</w:t>
      </w:r>
      <w:r>
        <w:t xml:space="preserve"> Vendors must follow Emirates Group Architecture Principles, ensuring system designs are evolutionary, resilient, and comply with SLA-based integration and data security regulations. Observability frameworks and DevSecOps practices must be implemented.</w:t>
      </w:r>
    </w:p>
    <w:p>
      <w:pPr>
        <w:pStyle w:val="Heading5"/>
        <w:spacing w:before="200" w:after="150"/>
      </w:pPr>
      <w:r>
        <w:t xml:space="preserve">Questions for Vendors</w:t>
      </w:r>
    </w:p>
    <w:p>
      <w:pPr>
        <w:spacing w:after="100"/>
        <w:ind w:left="720"/>
      </w:pPr>
      <w:r>
        <w:rPr>
          <w:b w:val="false"/>
          <w:bCs w:val="false"/>
        </w:rPr>
        <w:t xml:space="preserve">1. </w:t>
      </w:r>
      <w:r>
        <w:t xml:space="preserve">What certifications (ISO 27001, PCI-DSS, SOC 2) does your organization hold, and can you provide audit reports?</w:t>
      </w:r>
    </w:p>
    <w:p>
      <w:pPr>
        <w:spacing w:after="100"/>
        <w:ind w:left="720"/>
      </w:pPr>
      <w:r>
        <w:rPr>
          <w:b w:val="false"/>
          <w:bCs w:val="false"/>
        </w:rPr>
        <w:t xml:space="preserve">2. </w:t>
      </w:r>
      <w:r>
        <w:t xml:space="preserve">How does your solution comply with GDPR, CCPA, and data residency laws?</w:t>
      </w:r>
    </w:p>
    <w:p>
      <w:pPr>
        <w:spacing w:after="100"/>
        <w:ind w:left="720"/>
      </w:pPr>
      <w:r>
        <w:rPr>
          <w:b w:val="false"/>
          <w:bCs w:val="false"/>
        </w:rPr>
        <w:t xml:space="preserve">3. </w:t>
      </w:r>
      <w:r>
        <w:t xml:space="preserve">What encryption standards are applied to data at-rest, in-transit, and in-use?</w:t>
      </w:r>
    </w:p>
    <w:p>
      <w:pPr>
        <w:spacing w:after="100"/>
        <w:ind w:left="720"/>
      </w:pPr>
      <w:r>
        <w:rPr>
          <w:b w:val="false"/>
          <w:bCs w:val="false"/>
        </w:rPr>
        <w:t xml:space="preserve">4. </w:t>
      </w:r>
      <w:r>
        <w:t xml:space="preserve">How do you manage privileged access, RBAC, and MFA?</w:t>
      </w:r>
    </w:p>
    <w:p>
      <w:pPr>
        <w:spacing w:after="100"/>
        <w:ind w:left="720"/>
      </w:pPr>
      <w:r>
        <w:rPr>
          <w:b w:val="false"/>
          <w:bCs w:val="false"/>
        </w:rPr>
        <w:t xml:space="preserve">5. </w:t>
      </w:r>
      <w:r>
        <w:t xml:space="preserve">Can you outline your incident response procedures and SLAs for notifying Emirates Group of security events?</w:t>
      </w:r>
    </w:p>
    <w:p>
      <w:pPr>
        <w:spacing w:after="100"/>
        <w:ind w:left="720"/>
      </w:pPr>
      <w:r>
        <w:rPr>
          <w:b w:val="false"/>
          <w:bCs w:val="false"/>
        </w:rPr>
        <w:t xml:space="preserve">6. </w:t>
      </w:r>
      <w:r>
        <w:t xml:space="preserve">What measures do you take to ensure supply chain security in your application components?</w:t>
      </w:r>
    </w:p>
    <w:p>
      <w:pPr>
        <w:spacing w:after="100"/>
        <w:ind w:left="720"/>
      </w:pPr>
      <w:r>
        <w:rPr>
          <w:b w:val="false"/>
          <w:bCs w:val="false"/>
        </w:rPr>
        <w:t xml:space="preserve">7. </w:t>
      </w:r>
      <w:r>
        <w:t xml:space="preserve">How do you secure APIs, and what controls are in place to prevent abuse?</w:t>
      </w:r>
    </w:p>
    <w:p>
      <w:pPr>
        <w:pStyle w:val="Heading5"/>
        <w:spacing w:before="200" w:after="150"/>
      </w:pPr>
      <w:r>
        <w:t xml:space="preserve">Evaluation Criteria</w:t>
      </w:r>
    </w:p>
    <w:p>
      <w:pPr>
        <w:spacing w:after="100"/>
        <w:ind w:left="720"/>
      </w:pPr>
      <w:r>
        <w:rPr>
          <w:b w:val="false"/>
          <w:bCs w:val="false"/>
        </w:rPr>
        <w:t xml:space="preserve">1. </w:t>
      </w:r>
      <w:r>
        <w:t xml:space="preserve">Vendor holds mandatory certifications: ISO 27001, PCI-DSS Level 1, SOC 2 Type II.</w:t>
      </w:r>
    </w:p>
    <w:p>
      <w:pPr>
        <w:spacing w:after="100"/>
        <w:ind w:left="720"/>
      </w:pPr>
      <w:r>
        <w:rPr>
          <w:b w:val="false"/>
          <w:bCs w:val="false"/>
        </w:rPr>
        <w:t xml:space="preserve">2. </w:t>
      </w:r>
      <w:r>
        <w:t xml:space="preserve">Solution complies with GDPR, CCPA, and provides clear data residency documentation.</w:t>
      </w:r>
    </w:p>
    <w:p>
      <w:pPr>
        <w:spacing w:after="100"/>
        <w:ind w:left="720"/>
      </w:pPr>
      <w:r>
        <w:rPr>
          <w:b w:val="false"/>
          <w:bCs w:val="false"/>
        </w:rPr>
        <w:t xml:space="preserve">3. </w:t>
      </w:r>
      <w:r>
        <w:t xml:space="preserve">Encryption standards meet AES-256 for at-rest data and TLS 1.3 for in-transit data.</w:t>
      </w:r>
    </w:p>
    <w:p>
      <w:pPr>
        <w:spacing w:after="100"/>
        <w:ind w:left="720"/>
      </w:pPr>
      <w:r>
        <w:rPr>
          <w:b w:val="false"/>
          <w:bCs w:val="false"/>
        </w:rPr>
        <w:t xml:space="preserve">4. </w:t>
      </w:r>
      <w:r>
        <w:t xml:space="preserve">Identity and access management practices include MFA, SSO, RBAC, PAM, and secure API authentication.</w:t>
      </w:r>
    </w:p>
    <w:p>
      <w:pPr>
        <w:spacing w:after="100"/>
        <w:ind w:left="720"/>
      </w:pPr>
      <w:r>
        <w:rPr>
          <w:b w:val="false"/>
          <w:bCs w:val="false"/>
        </w:rPr>
        <w:t xml:space="preserve">5. </w:t>
      </w:r>
      <w:r>
        <w:t xml:space="preserve">Vendors provide documented incident response plans with SLAs aligning to Emirates Group standards.</w:t>
      </w:r>
    </w:p>
    <w:p>
      <w:pPr>
        <w:spacing w:after="100"/>
        <w:ind w:left="720"/>
      </w:pPr>
      <w:r>
        <w:rPr>
          <w:b w:val="false"/>
          <w:bCs w:val="false"/>
        </w:rPr>
        <w:t xml:space="preserve">6. </w:t>
      </w:r>
      <w:r>
        <w:t xml:space="preserve">Application security practices include SAST, DAST, and compliance with OWASP API Security Top 10.</w:t>
      </w:r>
    </w:p>
    <w:p>
      <w:pPr>
        <w:spacing w:after="100"/>
        <w:ind w:left="720"/>
      </w:pPr>
      <w:r>
        <w:rPr>
          <w:b w:val="false"/>
          <w:bCs w:val="false"/>
        </w:rPr>
        <w:t xml:space="preserve">7. </w:t>
      </w:r>
      <w:r>
        <w:t xml:space="preserve">Vendor demonstrates adherence to Emirates Group Information Classification Standard and Architecture Principles.</w:t>
      </w:r>
    </w:p>
    <w:p>
      <w:pPr>
        <w:spacing w:after="400"/>
      </w:pPr>
    </w:p>
    <w:p>
      <w:pPr>
        <w:pStyle w:val="Heading1"/>
        <w:spacing w:before="400" w:after="200"/>
      </w:pPr>
      <w:r>
        <w:t xml:space="preserve">Commercial &amp; Procurement Requirements</w:t>
      </w:r>
    </w:p>
    <w:p>
      <w:pPr>
        <w:pStyle w:val="Heading4"/>
        <w:spacing w:before="200" w:after="150"/>
      </w:pPr>
      <w:r>
        <w:t xml:space="preserve">Commercial &amp; Procurement Requirements for Enterprise Case Management System</w:t>
      </w:r>
    </w:p>
    <w:p>
      <w:pPr>
        <w:pStyle w:val="Heading5"/>
        <w:spacing w:before="200" w:after="150"/>
      </w:pPr>
      <w:r>
        <w:t xml:space="preserve">Pricing &amp; Cost Structure</w:t>
      </w:r>
    </w:p>
    <w:p>
      <w:pPr>
        <w:pStyle w:val="ListParagraph"/>
        <w:numPr>
          <w:ilvl w:val="0"/>
          <w:numId w:val="1"/>
        </w:numPr>
        <w:spacing w:after="100"/>
      </w:pPr>
      <w:r>
        <w:rPr>
          <w:b/>
          <w:bCs/>
        </w:rPr>
        <w:t xml:space="preserve">Required Pricing Model Clarity</w:t>
      </w:r>
      <w:r>
        <w:t xml:space="preserve">: Vendors must provide transparent pricing models, specifying whether costs are based on per-user, transaction-based, consumption-based, or enterprise-level licensing. Pricing models must align with scalability, considering fluctuating case volumes and user counts.</w:t>
      </w:r>
    </w:p>
    <w:p>
      <w:pPr>
        <w:pStyle w:val="ListParagraph"/>
        <w:numPr>
          <w:ilvl w:val="0"/>
          <w:numId w:val="1"/>
        </w:numPr>
        <w:spacing w:after="100"/>
      </w:pPr>
      <w:r>
        <w:rPr>
          <w:b/>
          <w:bCs/>
        </w:rPr>
        <w:t xml:space="preserve">Total Cost of Ownership (TCO)</w:t>
      </w:r>
      <w:r>
        <w:t xml:space="preserve">: Vendors must submit a detailed TCO breakdown, including:</w:t>
      </w:r>
    </w:p>
    <w:p>
      <w:pPr>
        <w:spacing w:after="200"/>
      </w:pPr>
      <w:r>
        <w:t xml:space="preserve">  - </w:t>
      </w:r>
      <w:r>
        <w:rPr>
          <w:b/>
          <w:bCs/>
        </w:rPr>
        <w:t xml:space="preserve">Implementation Costs</w:t>
      </w:r>
      <w:r>
        <w:t xml:space="preserve">: Software acquisition, professional services (installation, configuration, workflow setup), training, and data migration.</w:t>
      </w:r>
    </w:p>
    <w:p>
      <w:pPr>
        <w:spacing w:after="200"/>
      </w:pPr>
      <w:r>
        <w:t xml:space="preserve">  - </w:t>
      </w:r>
      <w:r>
        <w:rPr>
          <w:b/>
          <w:bCs/>
        </w:rPr>
        <w:t xml:space="preserve">Ongoing Costs</w:t>
      </w:r>
      <w:r>
        <w:t xml:space="preserve">: Licensing fees, annual support and maintenance, major version upgrades, and infrastructure hosting costs (if applicable).</w:t>
      </w:r>
    </w:p>
    <w:p>
      <w:pPr>
        <w:spacing w:after="200"/>
      </w:pPr>
      <w:r>
        <w:t xml:space="preserve">  - </w:t>
      </w:r>
      <w:r>
        <w:rPr>
          <w:b/>
          <w:bCs/>
        </w:rPr>
        <w:t xml:space="preserve">Environmental Costs</w:t>
      </w:r>
      <w:r>
        <w:t xml:space="preserve">: Systems must align with sustainability goals, using optimal resources to minimize environmental impact.</w:t>
      </w:r>
    </w:p>
    <w:p>
      <w:pPr>
        <w:pStyle w:val="ListParagraph"/>
        <w:numPr>
          <w:ilvl w:val="0"/>
          <w:numId w:val="1"/>
        </w:numPr>
        <w:spacing w:after="100"/>
      </w:pPr>
      <w:r>
        <w:rPr>
          <w:b/>
          <w:bCs/>
        </w:rPr>
        <w:t xml:space="preserve">Volume Discounts</w:t>
      </w:r>
      <w:r>
        <w:t xml:space="preserve">: Vendors must outline volume-based discount structures to enable scaling economics as the number of users or transactions increases.</w:t>
      </w:r>
    </w:p>
    <w:p>
      <w:pPr>
        <w:pStyle w:val="ListParagraph"/>
        <w:numPr>
          <w:ilvl w:val="0"/>
          <w:numId w:val="1"/>
        </w:numPr>
        <w:spacing w:after="100"/>
      </w:pPr>
      <w:r>
        <w:rPr>
          <w:b/>
          <w:bCs/>
        </w:rPr>
        <w:t xml:space="preserve">Hidden Costs Disclosure</w:t>
      </w:r>
      <w:r>
        <w:t xml:space="preserve">: All potential hidden costs (e.g., API access fees, additional storage, premium support tiers) must be disclosed upfront.</w:t>
      </w:r>
    </w:p>
    <w:p>
      <w:pPr>
        <w:pStyle w:val="Heading5"/>
        <w:spacing w:before="200" w:after="150"/>
      </w:pPr>
      <w:r>
        <w:t xml:space="preserve">Licensing &amp; Subscription Models</w:t>
      </w:r>
    </w:p>
    <w:p>
      <w:pPr>
        <w:pStyle w:val="ListParagraph"/>
        <w:numPr>
          <w:ilvl w:val="0"/>
          <w:numId w:val="1"/>
        </w:numPr>
        <w:spacing w:after="100"/>
      </w:pPr>
      <w:r>
        <w:rPr>
          <w:b/>
          <w:bCs/>
        </w:rPr>
        <w:t xml:space="preserve">Licensing Structure</w:t>
      </w:r>
      <w:r>
        <w:t xml:space="preserve">: Vendors must specify licensing based on named users, concurrent users, or enterprise-wide licensing. Concurrent user models should consider seasonal workload peaks.</w:t>
      </w:r>
    </w:p>
    <w:p>
      <w:pPr>
        <w:pStyle w:val="ListParagraph"/>
        <w:numPr>
          <w:ilvl w:val="0"/>
          <w:numId w:val="1"/>
        </w:numPr>
        <w:spacing w:after="100"/>
      </w:pPr>
      <w:r>
        <w:rPr>
          <w:b/>
          <w:bCs/>
        </w:rPr>
        <w:t xml:space="preserve">Subscription Terms</w:t>
      </w:r>
      <w:r>
        <w:t xml:space="preserve">: Annual, multi-year, and perpetual licensing options must be provided, with flexibility to scale subscriptions to match business needs.</w:t>
      </w:r>
    </w:p>
    <w:p>
      <w:pPr>
        <w:pStyle w:val="ListParagraph"/>
        <w:numPr>
          <w:ilvl w:val="0"/>
          <w:numId w:val="1"/>
        </w:numPr>
        <w:spacing w:after="100"/>
      </w:pPr>
      <w:r>
        <w:rPr>
          <w:b/>
          <w:bCs/>
        </w:rPr>
        <w:t xml:space="preserve">Scalability</w:t>
      </w:r>
      <w:r>
        <w:t xml:space="preserve">: Licensing models must support seamless addition or removal of users without penalties or downtime.</w:t>
      </w:r>
    </w:p>
    <w:p>
      <w:pPr>
        <w:pStyle w:val="ListParagraph"/>
        <w:numPr>
          <w:ilvl w:val="0"/>
          <w:numId w:val="1"/>
        </w:numPr>
        <w:spacing w:after="100"/>
      </w:pPr>
      <w:r>
        <w:rPr>
          <w:b/>
          <w:bCs/>
        </w:rPr>
        <w:t xml:space="preserve">License Portability</w:t>
      </w:r>
      <w:r>
        <w:t xml:space="preserve">: Licenses must be transferable across geographies or business units within Emirates Airlines.</w:t>
      </w:r>
    </w:p>
    <w:p>
      <w:pPr>
        <w:pStyle w:val="ListParagraph"/>
        <w:numPr>
          <w:ilvl w:val="0"/>
          <w:numId w:val="1"/>
        </w:numPr>
        <w:spacing w:after="100"/>
      </w:pPr>
      <w:r>
        <w:rPr>
          <w:b/>
          <w:bCs/>
        </w:rPr>
        <w:t xml:space="preserve">Non-Production Licensing</w:t>
      </w:r>
      <w:r>
        <w:t xml:space="preserve">: Vendors must provide licensing for development, testing, and staging environments at reduced or no additional cost.</w:t>
      </w:r>
    </w:p>
    <w:p>
      <w:pPr>
        <w:pStyle w:val="Heading5"/>
        <w:spacing w:before="200" w:after="150"/>
      </w:pPr>
      <w:r>
        <w:t xml:space="preserve">Service Level Agreements (SLAs)</w:t>
      </w:r>
    </w:p>
    <w:p>
      <w:pPr>
        <w:pStyle w:val="ListParagraph"/>
        <w:numPr>
          <w:ilvl w:val="0"/>
          <w:numId w:val="1"/>
        </w:numPr>
        <w:spacing w:after="100"/>
      </w:pPr>
      <w:r>
        <w:rPr>
          <w:b/>
          <w:bCs/>
        </w:rPr>
        <w:t xml:space="preserve">Uptime Commitments</w:t>
      </w:r>
      <w:r>
        <w:t xml:space="preserve">: Vendors must guarantee uptime levels of at least 99.95%, with penalties for SLA breaches.</w:t>
      </w:r>
    </w:p>
    <w:p>
      <w:pPr>
        <w:pStyle w:val="ListParagraph"/>
        <w:numPr>
          <w:ilvl w:val="0"/>
          <w:numId w:val="1"/>
        </w:numPr>
        <w:spacing w:after="100"/>
      </w:pPr>
      <w:r>
        <w:rPr>
          <w:b/>
          <w:bCs/>
        </w:rPr>
        <w:t xml:space="preserve">Incident Response SLAs</w:t>
      </w:r>
      <w:r>
        <w:t xml:space="preserve">: Clear response and resolution time SLAs for incidents:</w:t>
      </w:r>
    </w:p>
    <w:p>
      <w:pPr>
        <w:spacing w:after="200"/>
      </w:pPr>
      <w:r>
        <w:t xml:space="preserve">  - </w:t>
      </w:r>
      <w:r>
        <w:rPr>
          <w:b/>
          <w:bCs/>
        </w:rPr>
        <w:t xml:space="preserve">P1 (Critical)</w:t>
      </w:r>
      <w:r>
        <w:t xml:space="preserve">: Response within 15 minutes, resolution within 4 hours.</w:t>
      </w:r>
    </w:p>
    <w:p>
      <w:pPr>
        <w:spacing w:after="200"/>
      </w:pPr>
      <w:r>
        <w:t xml:space="preserve">  - </w:t>
      </w:r>
      <w:r>
        <w:rPr>
          <w:b/>
          <w:bCs/>
        </w:rPr>
        <w:t xml:space="preserve">P2 (High)</w:t>
      </w:r>
      <w:r>
        <w:t xml:space="preserve">: Response within 1 hour, resolution within 24 hours.</w:t>
      </w:r>
    </w:p>
    <w:p>
      <w:pPr>
        <w:spacing w:after="200"/>
      </w:pPr>
      <w:r>
        <w:t xml:space="preserve">  - </w:t>
      </w:r>
      <w:r>
        <w:rPr>
          <w:b/>
          <w:bCs/>
        </w:rPr>
        <w:t xml:space="preserve">P3 (Medium)</w:t>
      </w:r>
      <w:r>
        <w:t xml:space="preserve">: Response within 4 hours, resolution within 72 hours.</w:t>
      </w:r>
    </w:p>
    <w:p>
      <w:pPr>
        <w:pStyle w:val="ListParagraph"/>
        <w:numPr>
          <w:ilvl w:val="0"/>
          <w:numId w:val="1"/>
        </w:numPr>
        <w:spacing w:after="100"/>
      </w:pPr>
      <w:r>
        <w:rPr>
          <w:b/>
          <w:bCs/>
        </w:rPr>
        <w:t xml:space="preserve">Performance Guarantees</w:t>
      </w:r>
      <w:r>
        <w:t xml:space="preserve">: Vendors must define API latency limits, throughput expectations, and penalties for underperformance.</w:t>
      </w:r>
    </w:p>
    <w:p>
      <w:pPr>
        <w:pStyle w:val="ListParagraph"/>
        <w:numPr>
          <w:ilvl w:val="0"/>
          <w:numId w:val="1"/>
        </w:numPr>
        <w:spacing w:after="100"/>
      </w:pPr>
      <w:r>
        <w:rPr>
          <w:b/>
          <w:bCs/>
        </w:rPr>
        <w:t xml:space="preserve">Service Credits</w:t>
      </w:r>
      <w:r>
        <w:t xml:space="preserve">: Vendors must incorporate service credit mechanisms for SLA breaches, with credits proportional to the impact.</w:t>
      </w:r>
    </w:p>
    <w:p>
      <w:pPr>
        <w:pStyle w:val="Heading5"/>
        <w:spacing w:before="200" w:after="150"/>
      </w:pPr>
      <w:r>
        <w:t xml:space="preserve">Support &amp; Maintenance</w:t>
      </w:r>
    </w:p>
    <w:p>
      <w:pPr>
        <w:pStyle w:val="ListParagraph"/>
        <w:numPr>
          <w:ilvl w:val="0"/>
          <w:numId w:val="1"/>
        </w:numPr>
        <w:spacing w:after="100"/>
      </w:pPr>
      <w:r>
        <w:rPr>
          <w:b/>
          <w:bCs/>
        </w:rPr>
        <w:t xml:space="preserve">Support Availability</w:t>
      </w:r>
      <w:r>
        <w:t xml:space="preserve">: Vendors must provide 24/7 support for production environments, with business-hour support for non-critical issues.</w:t>
      </w:r>
    </w:p>
    <w:p>
      <w:pPr>
        <w:pStyle w:val="ListParagraph"/>
        <w:numPr>
          <w:ilvl w:val="0"/>
          <w:numId w:val="1"/>
        </w:numPr>
        <w:spacing w:after="100"/>
      </w:pPr>
      <w:r>
        <w:rPr>
          <w:b/>
          <w:bCs/>
        </w:rPr>
        <w:t xml:space="preserve">Support Channels</w:t>
      </w:r>
      <w:r>
        <w:t xml:space="preserve">: Support must be accessible via phone, email, web portal, and chat. Escalation paths must be clearly defined.</w:t>
      </w:r>
    </w:p>
    <w:p>
      <w:pPr>
        <w:pStyle w:val="ListParagraph"/>
        <w:numPr>
          <w:ilvl w:val="0"/>
          <w:numId w:val="1"/>
        </w:numPr>
        <w:spacing w:after="100"/>
      </w:pPr>
      <w:r>
        <w:rPr>
          <w:b/>
          <w:bCs/>
        </w:rPr>
        <w:t xml:space="preserve">Escalation Procedures</w:t>
      </w:r>
      <w:r>
        <w:t xml:space="preserve">: Access to a Technical Account Manager (TAM) must be provided for escalated issues.</w:t>
      </w:r>
    </w:p>
    <w:p>
      <w:pPr>
        <w:pStyle w:val="ListParagraph"/>
        <w:numPr>
          <w:ilvl w:val="0"/>
          <w:numId w:val="1"/>
        </w:numPr>
        <w:spacing w:after="100"/>
      </w:pPr>
      <w:r>
        <w:rPr>
          <w:b/>
          <w:bCs/>
        </w:rPr>
        <w:t xml:space="preserve">Upgrade Policies</w:t>
      </w:r>
      <w:r>
        <w:t xml:space="preserve">: Vendors must include major version upgrades as part of ongoing maintenance agreements or specify upgrade costs.</w:t>
      </w:r>
    </w:p>
    <w:p>
      <w:pPr>
        <w:pStyle w:val="ListParagraph"/>
        <w:numPr>
          <w:ilvl w:val="0"/>
          <w:numId w:val="1"/>
        </w:numPr>
        <w:spacing w:after="100"/>
      </w:pPr>
      <w:r>
        <w:rPr>
          <w:b/>
          <w:bCs/>
        </w:rPr>
        <w:t xml:space="preserve">Patch &amp; Security Updates</w:t>
      </w:r>
      <w:r>
        <w:t xml:space="preserve">: Vendors must deliver patches and security updates within defined SLAs (e.g., 48 hours for critical vulnerabilities).</w:t>
      </w:r>
    </w:p>
    <w:p>
      <w:pPr>
        <w:pStyle w:val="ListParagraph"/>
        <w:numPr>
          <w:ilvl w:val="0"/>
          <w:numId w:val="1"/>
        </w:numPr>
        <w:spacing w:after="100"/>
      </w:pPr>
      <w:r>
        <w:rPr>
          <w:b/>
          <w:bCs/>
        </w:rPr>
        <w:t xml:space="preserve">Training</w:t>
      </w:r>
      <w:r>
        <w:t xml:space="preserve">: Vendors must provide training programs tailored to end users, administrators, and developers.</w:t>
      </w:r>
    </w:p>
    <w:p>
      <w:pPr>
        <w:pStyle w:val="Heading5"/>
        <w:spacing w:before="200" w:after="150"/>
      </w:pPr>
      <w:r>
        <w:t xml:space="preserve">Contract Terms &amp; Risk Mitigation</w:t>
      </w:r>
    </w:p>
    <w:p>
      <w:pPr>
        <w:pStyle w:val="ListParagraph"/>
        <w:numPr>
          <w:ilvl w:val="0"/>
          <w:numId w:val="1"/>
        </w:numPr>
        <w:spacing w:after="100"/>
      </w:pPr>
      <w:r>
        <w:rPr>
          <w:b/>
          <w:bCs/>
        </w:rPr>
        <w:t xml:space="preserve">Contract Duration &amp; Renewal</w:t>
      </w:r>
      <w:r>
        <w:t xml:space="preserve">: Vendors must propose contracts with flexible renewal terms, allowing for annual or multi-year agreements.</w:t>
      </w:r>
    </w:p>
    <w:p>
      <w:pPr>
        <w:pStyle w:val="ListParagraph"/>
        <w:numPr>
          <w:ilvl w:val="0"/>
          <w:numId w:val="1"/>
        </w:numPr>
        <w:spacing w:after="100"/>
      </w:pPr>
      <w:r>
        <w:rPr>
          <w:b/>
          <w:bCs/>
        </w:rPr>
        <w:t xml:space="preserve">Exit Clauses</w:t>
      </w:r>
      <w:r>
        <w:t xml:space="preserve">: Contracts must include clear exit clauses, ensuring data portability and continuity upon termination.</w:t>
      </w:r>
    </w:p>
    <w:p>
      <w:pPr>
        <w:pStyle w:val="ListParagraph"/>
        <w:numPr>
          <w:ilvl w:val="0"/>
          <w:numId w:val="1"/>
        </w:numPr>
        <w:spacing w:after="100"/>
      </w:pPr>
      <w:r>
        <w:rPr>
          <w:b/>
          <w:bCs/>
        </w:rPr>
        <w:t xml:space="preserve">Vendor Lock-in Mitigation</w:t>
      </w:r>
      <w:r>
        <w:t xml:space="preserve">: Solutions must support open standards and API-based integrations to reduce dependency on proprietary technologies.</w:t>
      </w:r>
    </w:p>
    <w:p>
      <w:pPr>
        <w:pStyle w:val="ListParagraph"/>
        <w:numPr>
          <w:ilvl w:val="0"/>
          <w:numId w:val="1"/>
        </w:numPr>
        <w:spacing w:after="100"/>
      </w:pPr>
      <w:r>
        <w:rPr>
          <w:b/>
          <w:bCs/>
        </w:rPr>
        <w:t xml:space="preserve">Escrow Arrangements</w:t>
      </w:r>
      <w:r>
        <w:t xml:space="preserve">: Vendors must agree to source code escrow arrangements for mission-critical components.</w:t>
      </w:r>
    </w:p>
    <w:p>
      <w:pPr>
        <w:pStyle w:val="ListParagraph"/>
        <w:numPr>
          <w:ilvl w:val="0"/>
          <w:numId w:val="1"/>
        </w:numPr>
        <w:spacing w:after="100"/>
      </w:pPr>
      <w:r>
        <w:rPr>
          <w:b/>
          <w:bCs/>
        </w:rPr>
        <w:t xml:space="preserve">Payment Terms</w:t>
      </w:r>
      <w:r>
        <w:t xml:space="preserve">: Payment structures must be milestone-based, with net 30 or 60 days following invoice receipt.</w:t>
      </w:r>
    </w:p>
    <w:p>
      <w:pPr>
        <w:pStyle w:val="ListParagraph"/>
        <w:numPr>
          <w:ilvl w:val="0"/>
          <w:numId w:val="1"/>
        </w:numPr>
        <w:spacing w:after="100"/>
      </w:pPr>
      <w:r>
        <w:rPr>
          <w:b/>
          <w:bCs/>
        </w:rPr>
        <w:t xml:space="preserve">Performance Bonds</w:t>
      </w:r>
      <w:r>
        <w:t xml:space="preserve">: Vendors may be required to provide performance bonds to guarantee project deliverables.</w:t>
      </w:r>
    </w:p>
    <w:p>
      <w:pPr>
        <w:pStyle w:val="ListParagraph"/>
        <w:numPr>
          <w:ilvl w:val="0"/>
          <w:numId w:val="1"/>
        </w:numPr>
        <w:spacing w:after="100"/>
      </w:pPr>
      <w:r>
        <w:rPr>
          <w:b/>
          <w:bCs/>
        </w:rPr>
        <w:t xml:space="preserve">Liability Caps</w:t>
      </w:r>
      <w:r>
        <w:t xml:space="preserve">: Liability caps must be reasonable and indemnification must protect Emirates Airlines from third-party claims due to vendor faults.</w:t>
      </w:r>
    </w:p>
    <w:p>
      <w:pPr>
        <w:pStyle w:val="Heading5"/>
        <w:spacing w:before="200" w:after="150"/>
      </w:pPr>
      <w:r>
        <w:t xml:space="preserve">Vendor Governance &amp; Due Diligence</w:t>
      </w:r>
    </w:p>
    <w:p>
      <w:pPr>
        <w:pStyle w:val="ListParagraph"/>
        <w:numPr>
          <w:ilvl w:val="0"/>
          <w:numId w:val="1"/>
        </w:numPr>
        <w:spacing w:after="100"/>
      </w:pPr>
      <w:r>
        <w:rPr>
          <w:b/>
          <w:bCs/>
        </w:rPr>
        <w:t xml:space="preserve">Financial Stability</w:t>
      </w:r>
      <w:r>
        <w:t xml:space="preserve">: Vendors must demonstrate financial stability through audited financial statements.</w:t>
      </w:r>
    </w:p>
    <w:p>
      <w:pPr>
        <w:pStyle w:val="ListParagraph"/>
        <w:numPr>
          <w:ilvl w:val="0"/>
          <w:numId w:val="1"/>
        </w:numPr>
        <w:spacing w:after="100"/>
      </w:pPr>
      <w:r>
        <w:rPr>
          <w:b/>
          <w:bCs/>
        </w:rPr>
        <w:t xml:space="preserve">Customer References</w:t>
      </w:r>
      <w:r>
        <w:t xml:space="preserve">: Vendors must provide references from similar implementations, ideally within the airline or travel industry.</w:t>
      </w:r>
    </w:p>
    <w:p>
      <w:pPr>
        <w:pStyle w:val="ListParagraph"/>
        <w:numPr>
          <w:ilvl w:val="0"/>
          <w:numId w:val="1"/>
        </w:numPr>
        <w:spacing w:after="100"/>
      </w:pPr>
      <w:r>
        <w:rPr>
          <w:b/>
          <w:bCs/>
        </w:rPr>
        <w:t xml:space="preserve">Roadmap Transparency</w:t>
      </w:r>
      <w:r>
        <w:t xml:space="preserve">: Vendors must share their product development roadmaps and confirm alignment with Emirates Airlines’ evolving needs.</w:t>
      </w:r>
    </w:p>
    <w:p>
      <w:pPr>
        <w:pStyle w:val="ListParagraph"/>
        <w:numPr>
          <w:ilvl w:val="0"/>
          <w:numId w:val="1"/>
        </w:numPr>
        <w:spacing w:after="100"/>
      </w:pPr>
      <w:r>
        <w:rPr>
          <w:b/>
          <w:bCs/>
        </w:rPr>
        <w:t xml:space="preserve">Acquisition/Merger Impact</w:t>
      </w:r>
      <w:r>
        <w:t xml:space="preserve">: Contracts must include provisions to protect continuity in case of vendor acquisition or merger.</w:t>
      </w:r>
    </w:p>
    <w:p>
      <w:pPr>
        <w:pStyle w:val="ListParagraph"/>
        <w:numPr>
          <w:ilvl w:val="0"/>
          <w:numId w:val="1"/>
        </w:numPr>
        <w:spacing w:after="100"/>
      </w:pPr>
      <w:r>
        <w:rPr>
          <w:b/>
          <w:bCs/>
        </w:rPr>
        <w:t xml:space="preserve">End-of-Life Policies</w:t>
      </w:r>
      <w:r>
        <w:t xml:space="preserve">: Vendors must disclose end-of-life timelines for proposed solutions and ensure migration support during sunsetting phases.</w:t>
      </w:r>
    </w:p>
    <w:p>
      <w:pPr>
        <w:pStyle w:val="Heading5"/>
        <w:spacing w:before="200" w:after="150"/>
      </w:pPr>
      <w:r>
        <w:t xml:space="preserve">Compliance with Organizational Standards</w:t>
      </w:r>
    </w:p>
    <w:p>
      <w:pPr>
        <w:pStyle w:val="ListParagraph"/>
        <w:numPr>
          <w:ilvl w:val="0"/>
          <w:numId w:val="1"/>
        </w:numPr>
        <w:spacing w:after="100"/>
      </w:pPr>
      <w:r>
        <w:rPr>
          <w:b/>
          <w:bCs/>
        </w:rPr>
        <w:t xml:space="preserve">Data Sharing</w:t>
      </w:r>
      <w:r>
        <w:t xml:space="preserve">: Solutions must integrate with the Enterprise Data Platform (EDP) to share transactional data and state change events, avoiding duplication.</w:t>
      </w:r>
    </w:p>
    <w:p>
      <w:pPr>
        <w:pStyle w:val="ListParagraph"/>
        <w:numPr>
          <w:ilvl w:val="0"/>
          <w:numId w:val="1"/>
        </w:numPr>
        <w:spacing w:after="100"/>
      </w:pPr>
      <w:r>
        <w:rPr>
          <w:b/>
          <w:bCs/>
        </w:rPr>
        <w:t xml:space="preserve">SLA-based Integration</w:t>
      </w:r>
      <w:r>
        <w:t xml:space="preserve">: Solutions must meet SLA requirements for data consumption and align with the overarching integration framework.</w:t>
      </w:r>
    </w:p>
    <w:p>
      <w:pPr>
        <w:pStyle w:val="ListParagraph"/>
        <w:numPr>
          <w:ilvl w:val="0"/>
          <w:numId w:val="1"/>
        </w:numPr>
        <w:spacing w:after="100"/>
      </w:pPr>
      <w:r>
        <w:rPr>
          <w:b/>
          <w:bCs/>
        </w:rPr>
        <w:t xml:space="preserve">Data Security &amp; Privacy</w:t>
      </w:r>
      <w:r>
        <w:t xml:space="preserve">: Vendors must adhere to Emirates cybersecurity and privacy policies, ensuring compliance with GDPR and PCI-DSS.</w:t>
      </w:r>
    </w:p>
    <w:p>
      <w:pPr>
        <w:pStyle w:val="ListParagraph"/>
        <w:numPr>
          <w:ilvl w:val="0"/>
          <w:numId w:val="1"/>
        </w:numPr>
        <w:spacing w:after="100"/>
      </w:pPr>
      <w:r>
        <w:rPr>
          <w:b/>
          <w:bCs/>
        </w:rPr>
        <w:t xml:space="preserve">Automation &amp; Resiliency</w:t>
      </w:r>
      <w:r>
        <w:t xml:space="preserve">: Systems must support DevSecOps practices, be resilient by design, and offer full-scale elasticity.</w:t>
      </w:r>
    </w:p>
    <w:p>
      <w:pPr>
        <w:pStyle w:val="ListParagraph"/>
        <w:numPr>
          <w:ilvl w:val="0"/>
          <w:numId w:val="1"/>
        </w:numPr>
        <w:spacing w:after="100"/>
      </w:pPr>
      <w:r>
        <w:rPr>
          <w:b/>
          <w:bCs/>
        </w:rPr>
        <w:t xml:space="preserve">Customer-Centric Design</w:t>
      </w:r>
      <w:r>
        <w:t xml:space="preserve">: Solutions must provide an omnichannel experience, ensuring consistent information delivery and accessibility.</w:t>
      </w:r>
    </w:p>
    <w:p>
      <w:pPr>
        <w:pStyle w:val="ListParagraph"/>
        <w:numPr>
          <w:ilvl w:val="0"/>
          <w:numId w:val="1"/>
        </w:numPr>
        <w:spacing w:after="100"/>
      </w:pPr>
      <w:r>
        <w:rPr>
          <w:b/>
          <w:bCs/>
        </w:rPr>
        <w:t xml:space="preserve">Ethical Use of AI</w:t>
      </w:r>
      <w:r>
        <w:t xml:space="preserve">: Any embedded AI/ML capabilities must conform to ethical guidelines, avoiding bias and privacy risks.</w:t>
      </w:r>
    </w:p>
    <w:p>
      <w:pPr>
        <w:pStyle w:val="Heading4"/>
        <w:spacing w:before="200" w:after="150"/>
      </w:pPr>
      <w:r>
        <w:t xml:space="preserve">Questions For Vendors</w:t>
      </w:r>
    </w:p>
    <w:p>
      <w:pPr>
        <w:spacing w:after="100"/>
        <w:ind w:left="720"/>
      </w:pPr>
      <w:r>
        <w:rPr>
          <w:b w:val="false"/>
          <w:bCs w:val="false"/>
        </w:rPr>
        <w:t xml:space="preserve">1. </w:t>
      </w:r>
      <w:r>
        <w:t xml:space="preserve">What pricing model does your solution offer (per-user, transaction-based, consumption-based)?</w:t>
      </w:r>
    </w:p>
    <w:p>
      <w:pPr>
        <w:spacing w:after="100"/>
        <w:ind w:left="720"/>
      </w:pPr>
      <w:r>
        <w:rPr>
          <w:b w:val="false"/>
          <w:bCs w:val="false"/>
        </w:rPr>
        <w:t xml:space="preserve">2. </w:t>
      </w:r>
      <w:r>
        <w:t xml:space="preserve">Can you provide a detailed TCO breakdown for implementation and 5-year operational costs?</w:t>
      </w:r>
    </w:p>
    <w:p>
      <w:pPr>
        <w:spacing w:after="100"/>
        <w:ind w:left="720"/>
      </w:pPr>
      <w:r>
        <w:rPr>
          <w:b w:val="false"/>
          <w:bCs w:val="false"/>
        </w:rPr>
        <w:t xml:space="preserve">3. </w:t>
      </w:r>
      <w:r>
        <w:t xml:space="preserve">How does your licensing model scale to accommodate fluctuating user or case volumes?</w:t>
      </w:r>
    </w:p>
    <w:p>
      <w:pPr>
        <w:spacing w:after="100"/>
        <w:ind w:left="720"/>
      </w:pPr>
      <w:r>
        <w:rPr>
          <w:b w:val="false"/>
          <w:bCs w:val="false"/>
        </w:rPr>
        <w:t xml:space="preserve">4. </w:t>
      </w:r>
      <w:r>
        <w:t xml:space="preserve">What uptime SLAs and penalties for breaches are included in your proposal?</w:t>
      </w:r>
    </w:p>
    <w:p>
      <w:pPr>
        <w:spacing w:after="100"/>
        <w:ind w:left="720"/>
      </w:pPr>
      <w:r>
        <w:rPr>
          <w:b w:val="false"/>
          <w:bCs w:val="false"/>
        </w:rPr>
        <w:t xml:space="preserve">5. </w:t>
      </w:r>
      <w:r>
        <w:t xml:space="preserve">How do you ensure compliance with GDPR and PCI-DSS for data security and privacy?</w:t>
      </w:r>
    </w:p>
    <w:p>
      <w:pPr>
        <w:spacing w:after="100"/>
        <w:ind w:left="720"/>
      </w:pPr>
      <w:r>
        <w:rPr>
          <w:b w:val="false"/>
          <w:bCs w:val="false"/>
        </w:rPr>
        <w:t xml:space="preserve">6. </w:t>
      </w:r>
      <w:r>
        <w:t xml:space="preserve">Are major version upgrades included or charged separately?</w:t>
      </w:r>
    </w:p>
    <w:p>
      <w:pPr>
        <w:spacing w:after="100"/>
        <w:ind w:left="720"/>
      </w:pPr>
      <w:r>
        <w:rPr>
          <w:b w:val="false"/>
          <w:bCs w:val="false"/>
        </w:rPr>
        <w:t xml:space="preserve">7. </w:t>
      </w:r>
      <w:r>
        <w:t xml:space="preserve">What provisions are in place to mitigate vendor lock-in risks?</w:t>
      </w:r>
    </w:p>
    <w:p>
      <w:pPr>
        <w:spacing w:after="100"/>
        <w:ind w:left="720"/>
      </w:pPr>
      <w:r>
        <w:rPr>
          <w:b w:val="false"/>
          <w:bCs w:val="false"/>
        </w:rPr>
        <w:t xml:space="preserve">8. </w:t>
      </w:r>
      <w:r>
        <w:t xml:space="preserve">Can your solution integrate seamlessly with Emirates Airlines’ Enterprise Data Platform?</w:t>
      </w:r>
    </w:p>
    <w:p>
      <w:pPr>
        <w:spacing w:after="100"/>
        <w:ind w:left="720"/>
      </w:pPr>
      <w:r>
        <w:rPr>
          <w:b w:val="false"/>
          <w:bCs w:val="false"/>
        </w:rPr>
        <w:t xml:space="preserve">9. </w:t>
      </w:r>
      <w:r>
        <w:t xml:space="preserve">What customer references can you provide for similar implementations?</w:t>
      </w:r>
    </w:p>
    <w:p>
      <w:pPr>
        <w:spacing w:after="100"/>
        <w:ind w:left="720"/>
      </w:pPr>
      <w:r>
        <w:rPr>
          <w:b w:val="false"/>
          <w:bCs w:val="false"/>
        </w:rPr>
        <w:t xml:space="preserve">10. </w:t>
      </w:r>
      <w:r>
        <w:t xml:space="preserve">How do you handle end-of-life support and migration?</w:t>
      </w:r>
    </w:p>
    <w:p>
      <w:pPr>
        <w:pStyle w:val="Heading4"/>
        <w:spacing w:before="200" w:after="150"/>
      </w:pPr>
      <w:r>
        <w:t xml:space="preserve">Evaluation Criteria</w:t>
      </w:r>
    </w:p>
    <w:p>
      <w:pPr>
        <w:spacing w:after="100"/>
        <w:ind w:left="720"/>
      </w:pPr>
      <w:r>
        <w:rPr>
          <w:b w:val="false"/>
          <w:bCs w:val="false"/>
        </w:rPr>
        <w:t xml:space="preserve">1. </w:t>
      </w:r>
      <w:r>
        <w:rPr>
          <w:b/>
          <w:bCs/>
        </w:rPr>
        <w:t xml:space="preserve">TCO &amp; ROI Alignment</w:t>
      </w:r>
      <w:r>
        <w:t xml:space="preserve">: Solutions must demonstrate competitive total cost of ownership and deliver ROI within 18 months.</w:t>
      </w:r>
    </w:p>
    <w:p>
      <w:pPr>
        <w:spacing w:after="100"/>
        <w:ind w:left="720"/>
      </w:pPr>
      <w:r>
        <w:rPr>
          <w:b w:val="false"/>
          <w:bCs w:val="false"/>
        </w:rPr>
        <w:t xml:space="preserve">2. </w:t>
      </w:r>
      <w:r>
        <w:rPr>
          <w:b/>
          <w:bCs/>
        </w:rPr>
        <w:t xml:space="preserve">Flexibility &amp; Scalability</w:t>
      </w:r>
      <w:r>
        <w:t xml:space="preserve">: Licensing models, pricing structures, and system designs must support seamless scaling and adaptability.</w:t>
      </w:r>
    </w:p>
    <w:p>
      <w:pPr>
        <w:spacing w:after="100"/>
        <w:ind w:left="720"/>
      </w:pPr>
      <w:r>
        <w:rPr>
          <w:b w:val="false"/>
          <w:bCs w:val="false"/>
        </w:rPr>
        <w:t xml:space="preserve">3. </w:t>
      </w:r>
      <w:r>
        <w:rPr>
          <w:b/>
          <w:bCs/>
        </w:rPr>
        <w:t xml:space="preserve">Compliance</w:t>
      </w:r>
      <w:r>
        <w:t xml:space="preserve">: Vendors must adhere to Emirates Airlines’ architectural principles, including data sharing, security, and resilience.</w:t>
      </w:r>
    </w:p>
    <w:p>
      <w:pPr>
        <w:spacing w:after="100"/>
        <w:ind w:left="720"/>
      </w:pPr>
      <w:r>
        <w:rPr>
          <w:b w:val="false"/>
          <w:bCs w:val="false"/>
        </w:rPr>
        <w:t xml:space="preserve">4. </w:t>
      </w:r>
      <w:r>
        <w:rPr>
          <w:b/>
          <w:bCs/>
        </w:rPr>
        <w:t xml:space="preserve">Vendor Stability</w:t>
      </w:r>
      <w:r>
        <w:t xml:space="preserve">: Financial health, roadmap alignment, and support for future growth must be evident.</w:t>
      </w:r>
    </w:p>
    <w:p>
      <w:pPr>
        <w:spacing w:after="100"/>
        <w:ind w:left="720"/>
      </w:pPr>
      <w:r>
        <w:rPr>
          <w:b w:val="false"/>
          <w:bCs w:val="false"/>
        </w:rPr>
        <w:t xml:space="preserve">5. </w:t>
      </w:r>
      <w:r>
        <w:rPr>
          <w:b/>
          <w:bCs/>
        </w:rPr>
        <w:t xml:space="preserve">SLA Adherence</w:t>
      </w:r>
      <w:r>
        <w:t xml:space="preserve">: Uptime, performance, and support SLAs must meet or exceed organizational standards.</w:t>
      </w:r>
    </w:p>
    <w:p>
      <w:pPr>
        <w:spacing w:after="100"/>
        <w:ind w:left="720"/>
      </w:pPr>
      <w:r>
        <w:rPr>
          <w:b w:val="false"/>
          <w:bCs w:val="false"/>
        </w:rPr>
        <w:t xml:space="preserve">6. </w:t>
      </w:r>
      <w:r>
        <w:rPr>
          <w:b/>
          <w:bCs/>
        </w:rPr>
        <w:t xml:space="preserve">Risk Mitigation</w:t>
      </w:r>
      <w:r>
        <w:t xml:space="preserve">: Contracts must include robust risk mitigation strategies, including exit clauses and escrow arrangements.</w:t>
      </w:r>
    </w:p>
    <w:p>
      <w:pPr>
        <w:spacing w:after="100"/>
        <w:ind w:left="720"/>
      </w:pPr>
      <w:r>
        <w:rPr>
          <w:b w:val="false"/>
          <w:bCs w:val="false"/>
        </w:rPr>
        <w:t xml:space="preserve">7. </w:t>
      </w:r>
      <w:r>
        <w:rPr>
          <w:b/>
          <w:bCs/>
        </w:rPr>
        <w:t xml:space="preserve">Customer-Centric Features</w:t>
      </w:r>
      <w:r>
        <w:t xml:space="preserve">: Solutions must prioritize user experience, accessibility, and omnichannel delivery.</w:t>
      </w:r>
    </w:p>
    <w:p>
      <w:pPr>
        <w:spacing w:after="100"/>
        <w:ind w:left="720"/>
      </w:pPr>
      <w:r>
        <w:rPr>
          <w:b w:val="false"/>
          <w:bCs w:val="false"/>
        </w:rPr>
        <w:t xml:space="preserve">8. </w:t>
      </w:r>
      <w:r>
        <w:rPr>
          <w:b/>
          <w:bCs/>
        </w:rPr>
        <w:t xml:space="preserve">Support &amp; Maintenance</w:t>
      </w:r>
      <w:r>
        <w:t xml:space="preserve">: Comprehensive support structures, escalation paths, and upgrade policies must be in place.</w:t>
      </w:r>
    </w:p>
    <w:p>
      <w:pPr>
        <w:spacing w:after="400"/>
      </w:pPr>
    </w:p>
    <w:p>
      <w:pPr>
        <w:pStyle w:val="Heading1"/>
        <w:spacing w:before="400" w:after="200"/>
      </w:pPr>
      <w:r>
        <w:t xml:space="preserve">Delivery &amp; Implementation Requirements</w:t>
      </w:r>
    </w:p>
    <w:p>
      <w:pPr>
        <w:pStyle w:val="Heading4"/>
        <w:spacing w:before="200" w:after="150"/>
      </w:pPr>
      <w:r>
        <w:t xml:space="preserve">Delivery &amp; Implementation Requirements</w:t>
      </w:r>
    </w:p>
    <w:p>
      <w:pPr>
        <w:pStyle w:val="Heading5"/>
        <w:spacing w:before="200" w:after="150"/>
      </w:pPr>
      <w:r>
        <w:t xml:space="preserve">1. Delivery Methodology Requirements</w:t>
      </w:r>
    </w:p>
    <w:p>
      <w:pPr>
        <w:pStyle w:val="ListParagraph"/>
        <w:numPr>
          <w:ilvl w:val="0"/>
          <w:numId w:val="1"/>
        </w:numPr>
        <w:spacing w:after="100"/>
      </w:pPr>
      <w:r>
        <w:rPr>
          <w:b/>
          <w:bCs/>
        </w:rPr>
        <w:t xml:space="preserve">Acceptable Methodologies</w:t>
      </w:r>
      <w:r>
        <w:t xml:space="preserve">: The vendor must propose a delivery approach using Agile (e.g., Scrum or SAFe), Waterfall, or a hybrid methodology tailored to the project’s complexity and dependencies. Agile methodologies are preferred for iterative development and rapid value delivery.</w:t>
      </w:r>
    </w:p>
    <w:p>
      <w:pPr>
        <w:pStyle w:val="ListParagraph"/>
        <w:numPr>
          <w:ilvl w:val="0"/>
          <w:numId w:val="1"/>
        </w:numPr>
        <w:spacing w:after="100"/>
      </w:pPr>
      <w:r>
        <w:rPr>
          <w:b/>
          <w:bCs/>
        </w:rPr>
        <w:t xml:space="preserve">Sprint/Iteration Cadence</w:t>
      </w:r>
      <w:r>
        <w:t xml:space="preserve">: For Agile or hybrid approaches, sprint durations should be 2 to 4 weeks, with defined objectives and deliverables for each sprint. Adjustments must be made to ensure alignment with the project timeline and milestones.</w:t>
      </w:r>
    </w:p>
    <w:p>
      <w:pPr>
        <w:pStyle w:val="ListParagraph"/>
        <w:numPr>
          <w:ilvl w:val="0"/>
          <w:numId w:val="1"/>
        </w:numPr>
        <w:spacing w:after="100"/>
      </w:pPr>
      <w:r>
        <w:rPr>
          <w:b/>
          <w:bCs/>
        </w:rPr>
        <w:t xml:space="preserve">Stakeholder Engagement and Governance</w:t>
      </w:r>
      <w:r>
        <w:t xml:space="preserve">: The vendor must establish a governance model that includes regular stakeholder workshops, sprint reviews, daily stand-ups, and bi-weekly steering committee meetings to ensure alignment with Emirates Airlines’ priorities and compliance standards.</w:t>
      </w:r>
    </w:p>
    <w:p>
      <w:pPr>
        <w:pStyle w:val="ListParagraph"/>
        <w:numPr>
          <w:ilvl w:val="0"/>
          <w:numId w:val="1"/>
        </w:numPr>
        <w:spacing w:after="100"/>
      </w:pPr>
      <w:r>
        <w:rPr>
          <w:b/>
          <w:bCs/>
        </w:rPr>
        <w:t xml:space="preserve">Quality Gates and Approval Checkpoints</w:t>
      </w:r>
      <w:r>
        <w:t xml:space="preserve">: Mandatory quality gates must be included at key phases (e.g., discovery, design, development, testing, and deployment). Emirates Airlines’ internal teams will sign off on each gate to proceed to the next phase.</w:t>
      </w:r>
    </w:p>
    <w:p>
      <w:pPr>
        <w:pStyle w:val="ListParagraph"/>
        <w:numPr>
          <w:ilvl w:val="0"/>
          <w:numId w:val="1"/>
        </w:numPr>
        <w:spacing w:after="100"/>
      </w:pPr>
      <w:r>
        <w:rPr>
          <w:b/>
          <w:bCs/>
        </w:rPr>
        <w:t xml:space="preserve">Demonstration and Showcase Requirements</w:t>
      </w:r>
      <w:r>
        <w:t xml:space="preserve">: Periodic showcases must be held to demonstrate working functionalities to stakeholders, ensuring alignment with design objectives and user expectations.</w:t>
      </w:r>
    </w:p>
    <w:p>
      <w:pPr>
        <w:pStyle w:val="Heading5"/>
        <w:spacing w:before="200" w:after="150"/>
      </w:pPr>
      <w:r>
        <w:t xml:space="preserve">2. Project Timeline &amp; Milestones</w:t>
      </w:r>
    </w:p>
    <w:p>
      <w:pPr>
        <w:pStyle w:val="ListParagraph"/>
        <w:numPr>
          <w:ilvl w:val="0"/>
          <w:numId w:val="1"/>
        </w:numPr>
        <w:spacing w:after="100"/>
      </w:pPr>
      <w:r>
        <w:rPr>
          <w:b/>
          <w:bCs/>
        </w:rPr>
        <w:t xml:space="preserve">Expected Implementation Timeline</w:t>
      </w:r>
      <w:r>
        <w:t xml:space="preserve">: The implementation should not exceed 12-18 months, including all phases from discovery to post-go-live hypercare.</w:t>
      </w:r>
    </w:p>
    <w:p>
      <w:pPr>
        <w:pStyle w:val="ListParagraph"/>
        <w:numPr>
          <w:ilvl w:val="0"/>
          <w:numId w:val="1"/>
        </w:numPr>
        <w:spacing w:after="100"/>
      </w:pPr>
      <w:r>
        <w:rPr>
          <w:b/>
          <w:bCs/>
        </w:rPr>
        <w:t xml:space="preserve">Key Milestones</w:t>
      </w:r>
      <w:r>
        <w:t xml:space="preserve">:</w:t>
      </w:r>
    </w:p>
    <w:p>
      <w:pPr>
        <w:spacing w:after="200"/>
      </w:pPr>
      <w:r>
        <w:t xml:space="preserve">  - Discovery and Requirements Gathering (Month 1-2)</w:t>
      </w:r>
    </w:p>
    <w:p>
      <w:pPr>
        <w:spacing w:after="200"/>
      </w:pPr>
      <w:r>
        <w:t xml:space="preserve">  - Solution Design and Architecture (Month 3-4)</w:t>
      </w:r>
    </w:p>
    <w:p>
      <w:pPr>
        <w:spacing w:after="200"/>
      </w:pPr>
      <w:r>
        <w:t xml:space="preserve">  - Development and Integration (Month 5-10)</w:t>
      </w:r>
    </w:p>
    <w:p>
      <w:pPr>
        <w:spacing w:after="200"/>
      </w:pPr>
      <w:r>
        <w:t xml:space="preserve">  - System Testing and UAT (Month 11-12)</w:t>
      </w:r>
    </w:p>
    <w:p>
      <w:pPr>
        <w:spacing w:after="200"/>
      </w:pPr>
      <w:r>
        <w:t xml:space="preserve">  - Deployment and Cutover (Month 13)</w:t>
      </w:r>
    </w:p>
    <w:p>
      <w:pPr>
        <w:spacing w:after="200"/>
      </w:pPr>
      <w:r>
        <w:t xml:space="preserve">  - Post-Go-Live Support and Hypercare (Month 14-18)</w:t>
      </w:r>
    </w:p>
    <w:p>
      <w:pPr>
        <w:pStyle w:val="ListParagraph"/>
        <w:numPr>
          <w:ilvl w:val="0"/>
          <w:numId w:val="1"/>
        </w:numPr>
        <w:spacing w:after="100"/>
      </w:pPr>
      <w:r>
        <w:rPr>
          <w:b/>
          <w:bCs/>
        </w:rPr>
        <w:t xml:space="preserve">Critical Path Identification</w:t>
      </w:r>
      <w:r>
        <w:t xml:space="preserve">: Vendors must identify the critical path tasks, dependencies, and potential bottlenecks. High-risk milestones must have contingency plans outlined.</w:t>
      </w:r>
    </w:p>
    <w:p>
      <w:pPr>
        <w:pStyle w:val="ListParagraph"/>
        <w:numPr>
          <w:ilvl w:val="0"/>
          <w:numId w:val="1"/>
        </w:numPr>
        <w:spacing w:after="100"/>
      </w:pPr>
      <w:r>
        <w:rPr>
          <w:b/>
          <w:bCs/>
        </w:rPr>
        <w:t xml:space="preserve">Dependency Mapping and Sequencing</w:t>
      </w:r>
      <w:r>
        <w:t xml:space="preserve">: Explicit mapping of dependencies, particularly with enterprise systems such as CRM (Salesforce), PSS (Amadeus Altea), and Regulatory Portals, is required. Sequencing must ensure minimal operational disruption.</w:t>
      </w:r>
    </w:p>
    <w:p>
      <w:pPr>
        <w:pStyle w:val="ListParagraph"/>
        <w:numPr>
          <w:ilvl w:val="0"/>
          <w:numId w:val="1"/>
        </w:numPr>
        <w:spacing w:after="100"/>
      </w:pPr>
      <w:r>
        <w:rPr>
          <w:b/>
          <w:bCs/>
        </w:rPr>
        <w:t xml:space="preserve">Buffer and Contingency Allocation</w:t>
      </w:r>
      <w:r>
        <w:t xml:space="preserve">: A minimum of 15% buffer time must be allocated for high-risk phases, particularly UAT and integration testing.</w:t>
      </w:r>
    </w:p>
    <w:p>
      <w:pPr>
        <w:pStyle w:val="ListParagraph"/>
        <w:numPr>
          <w:ilvl w:val="0"/>
          <w:numId w:val="1"/>
        </w:numPr>
        <w:spacing w:after="100"/>
      </w:pPr>
      <w:r>
        <w:rPr>
          <w:b/>
          <w:bCs/>
        </w:rPr>
        <w:t xml:space="preserve">Go-Live and Cutover Planning</w:t>
      </w:r>
      <w:r>
        <w:t xml:space="preserve">: Vendors must provide a detailed cutover strategy, including rollback procedures, system downtime minimization plans, and phased rollout options.</w:t>
      </w:r>
    </w:p>
    <w:p>
      <w:pPr>
        <w:pStyle w:val="Heading5"/>
        <w:spacing w:before="200" w:after="150"/>
      </w:pPr>
      <w:r>
        <w:t xml:space="preserve">3. Resource Planning &amp; Team Composition</w:t>
      </w:r>
    </w:p>
    <w:p>
      <w:pPr>
        <w:pStyle w:val="ListParagraph"/>
        <w:numPr>
          <w:ilvl w:val="0"/>
          <w:numId w:val="1"/>
        </w:numPr>
        <w:spacing w:after="100"/>
      </w:pPr>
      <w:r>
        <w:rPr>
          <w:b/>
          <w:bCs/>
        </w:rPr>
        <w:t xml:space="preserve">Required Team Roles</w:t>
      </w:r>
      <w:r>
        <w:t xml:space="preserve">: The vendor must staff the project with experienced professionals, including a Program Manager, Solution Architects, Developers, Testers, Business Analysts, and Change Management Specialists. Additional roles such as Data Migration Specialists and SMEs for airline operations are preferred.</w:t>
      </w:r>
    </w:p>
    <w:p>
      <w:pPr>
        <w:pStyle w:val="ListParagraph"/>
        <w:numPr>
          <w:ilvl w:val="0"/>
          <w:numId w:val="1"/>
        </w:numPr>
        <w:spacing w:after="100"/>
      </w:pPr>
      <w:r>
        <w:rPr>
          <w:b/>
          <w:bCs/>
        </w:rPr>
        <w:t xml:space="preserve">Onshore vs. Offshore Mix Expectations</w:t>
      </w:r>
      <w:r>
        <w:t xml:space="preserve">: A hybrid model with at least 40% onshore presence during critical phases (design, UAT, deployment) is required to ensure effective collaboration.</w:t>
      </w:r>
    </w:p>
    <w:p>
      <w:pPr>
        <w:pStyle w:val="ListParagraph"/>
        <w:numPr>
          <w:ilvl w:val="0"/>
          <w:numId w:val="1"/>
        </w:numPr>
        <w:spacing w:after="100"/>
      </w:pPr>
      <w:r>
        <w:rPr>
          <w:b/>
          <w:bCs/>
        </w:rPr>
        <w:t xml:space="preserve">Vendor Staffing Commitment and Availability</w:t>
      </w:r>
      <w:r>
        <w:t xml:space="preserve">: Key personnel must be committed throughout the project duration. Any changes to the team must be communicated and approved by Emirates Airlines.</w:t>
      </w:r>
    </w:p>
    <w:p>
      <w:pPr>
        <w:pStyle w:val="ListParagraph"/>
        <w:numPr>
          <w:ilvl w:val="0"/>
          <w:numId w:val="1"/>
        </w:numPr>
        <w:spacing w:after="100"/>
      </w:pPr>
      <w:r>
        <w:rPr>
          <w:b/>
          <w:bCs/>
        </w:rPr>
        <w:t xml:space="preserve">Knowledge Transfer and Training Requirements</w:t>
      </w:r>
      <w:r>
        <w:t xml:space="preserve">: Vendors must provide comprehensive knowledge transfer, including runbooks, technical documentation, and training sessions for internal teams.</w:t>
      </w:r>
    </w:p>
    <w:p>
      <w:pPr>
        <w:pStyle w:val="ListParagraph"/>
        <w:numPr>
          <w:ilvl w:val="0"/>
          <w:numId w:val="1"/>
        </w:numPr>
        <w:spacing w:after="100"/>
      </w:pPr>
      <w:r>
        <w:rPr>
          <w:b/>
          <w:bCs/>
        </w:rPr>
        <w:t xml:space="preserve">Handover to Internal Teams</w:t>
      </w:r>
      <w:r>
        <w:t xml:space="preserve">: A complete handover process, including system documentation, operational support guides, and training materials, must be included.</w:t>
      </w:r>
    </w:p>
    <w:p>
      <w:pPr>
        <w:pStyle w:val="Heading5"/>
        <w:spacing w:before="200" w:after="150"/>
      </w:pPr>
      <w:r>
        <w:t xml:space="preserve">4. Risk Management &amp; Mitigation</w:t>
      </w:r>
    </w:p>
    <w:p>
      <w:pPr>
        <w:pStyle w:val="ListParagraph"/>
        <w:numPr>
          <w:ilvl w:val="0"/>
          <w:numId w:val="1"/>
        </w:numPr>
        <w:spacing w:after="100"/>
      </w:pPr>
      <w:r>
        <w:rPr>
          <w:b/>
          <w:bCs/>
        </w:rPr>
        <w:t xml:space="preserve">Risk Identification and Assessment Methodology</w:t>
      </w:r>
      <w:r>
        <w:t xml:space="preserve">: Vendors must use a structured risk management framework to identify, assess, and prioritize risks. Risk logs must be maintained and reviewed weekly.</w:t>
      </w:r>
    </w:p>
    <w:p>
      <w:pPr>
        <w:pStyle w:val="ListParagraph"/>
        <w:numPr>
          <w:ilvl w:val="0"/>
          <w:numId w:val="1"/>
        </w:numPr>
        <w:spacing w:after="100"/>
      </w:pPr>
      <w:r>
        <w:rPr>
          <w:b/>
          <w:bCs/>
        </w:rPr>
        <w:t xml:space="preserve">Risk Mitigation Strategies and Contingency Plans</w:t>
      </w:r>
      <w:r>
        <w:t xml:space="preserve">: Vendors must propose proactive mitigation strategies for risks such as delays in integration, data migration issues, and SLA compliance failures. Contingency plans should cover critical dependencies like regulatory deadlines.</w:t>
      </w:r>
    </w:p>
    <w:p>
      <w:pPr>
        <w:pStyle w:val="ListParagraph"/>
        <w:numPr>
          <w:ilvl w:val="0"/>
          <w:numId w:val="1"/>
        </w:numPr>
        <w:spacing w:after="100"/>
      </w:pPr>
      <w:r>
        <w:rPr>
          <w:b/>
          <w:bCs/>
        </w:rPr>
        <w:t xml:space="preserve">Issue Escalation Procedures</w:t>
      </w:r>
      <w:r>
        <w:t xml:space="preserve">: A formal escalation path with a 24-hour response SLA must be included for critical issues.</w:t>
      </w:r>
    </w:p>
    <w:p>
      <w:pPr>
        <w:pStyle w:val="ListParagraph"/>
        <w:numPr>
          <w:ilvl w:val="0"/>
          <w:numId w:val="1"/>
        </w:numPr>
        <w:spacing w:after="100"/>
      </w:pPr>
      <w:r>
        <w:rPr>
          <w:b/>
          <w:bCs/>
        </w:rPr>
        <w:t xml:space="preserve">Dependency Management on Existing Systems</w:t>
      </w:r>
      <w:r>
        <w:t xml:space="preserve">: Vendors must identify and manage interdependencies with existing systems, ensuring data consistency and operational continuity.</w:t>
      </w:r>
    </w:p>
    <w:p>
      <w:pPr>
        <w:pStyle w:val="ListParagraph"/>
        <w:numPr>
          <w:ilvl w:val="0"/>
          <w:numId w:val="1"/>
        </w:numPr>
        <w:spacing w:after="100"/>
      </w:pPr>
      <w:r>
        <w:rPr>
          <w:b/>
          <w:bCs/>
        </w:rPr>
        <w:t xml:space="preserve">Integration Testing Strategy</w:t>
      </w:r>
      <w:r>
        <w:t xml:space="preserve">: A comprehensive integration testing plan must validate seamless interaction between the case management system and enterprise systems (e.g., PSS, CRM, and Document Management System).</w:t>
      </w:r>
    </w:p>
    <w:p>
      <w:pPr>
        <w:pStyle w:val="ListParagraph"/>
        <w:numPr>
          <w:ilvl w:val="0"/>
          <w:numId w:val="1"/>
        </w:numPr>
        <w:spacing w:after="100"/>
      </w:pPr>
      <w:r>
        <w:rPr>
          <w:b/>
          <w:bCs/>
        </w:rPr>
        <w:t xml:space="preserve">UAT Approach</w:t>
      </w:r>
      <w:r>
        <w:t xml:space="preserve">: The UAT phase must include real-world scenario testing with end users across all stakeholder groups (e.g., Customer Service Agents, Regulatory Affairs Officers).</w:t>
      </w:r>
    </w:p>
    <w:p>
      <w:pPr>
        <w:pStyle w:val="Heading5"/>
        <w:spacing w:before="200" w:after="150"/>
      </w:pPr>
      <w:r>
        <w:t xml:space="preserve">5. Change Management &amp; Adoption</w:t>
      </w:r>
    </w:p>
    <w:p>
      <w:pPr>
        <w:pStyle w:val="ListParagraph"/>
        <w:numPr>
          <w:ilvl w:val="0"/>
          <w:numId w:val="1"/>
        </w:numPr>
        <w:spacing w:after="100"/>
      </w:pPr>
      <w:r>
        <w:rPr>
          <w:b/>
          <w:bCs/>
        </w:rPr>
        <w:t xml:space="preserve">Stakeholder Communication Plan</w:t>
      </w:r>
      <w:r>
        <w:t xml:space="preserve">: Vendors must develop a detailed communication plan, including regular updates to all stakeholder groups and end users, ensuring transparency.</w:t>
      </w:r>
    </w:p>
    <w:p>
      <w:pPr>
        <w:pStyle w:val="ListParagraph"/>
        <w:numPr>
          <w:ilvl w:val="0"/>
          <w:numId w:val="1"/>
        </w:numPr>
        <w:spacing w:after="100"/>
      </w:pPr>
      <w:r>
        <w:rPr>
          <w:b/>
          <w:bCs/>
        </w:rPr>
        <w:t xml:space="preserve">Training Programs for End Users and Administrators</w:t>
      </w:r>
      <w:r>
        <w:t xml:space="preserve">: Customized training programs must be provided to all user groups, focusing on their specific use cases and workflows.</w:t>
      </w:r>
    </w:p>
    <w:p>
      <w:pPr>
        <w:pStyle w:val="ListParagraph"/>
        <w:numPr>
          <w:ilvl w:val="0"/>
          <w:numId w:val="1"/>
        </w:numPr>
        <w:spacing w:after="100"/>
      </w:pPr>
      <w:r>
        <w:rPr>
          <w:b/>
          <w:bCs/>
        </w:rPr>
        <w:t xml:space="preserve">Change Readiness Assessment</w:t>
      </w:r>
      <w:r>
        <w:t xml:space="preserve">: Vendors must conduct change readiness assessments to identify potential adoption barriers and recommend mitigation actions.</w:t>
      </w:r>
    </w:p>
    <w:p>
      <w:pPr>
        <w:pStyle w:val="ListParagraph"/>
        <w:numPr>
          <w:ilvl w:val="0"/>
          <w:numId w:val="1"/>
        </w:numPr>
        <w:spacing w:after="100"/>
      </w:pPr>
      <w:r>
        <w:rPr>
          <w:b/>
          <w:bCs/>
        </w:rPr>
        <w:t xml:space="preserve">Pilot and Phased Rollout Strategy</w:t>
      </w:r>
      <w:r>
        <w:t xml:space="preserve">: A phased rollout approach is required, starting with a pilot for a selected group of users and gradually expanding to full deployment.</w:t>
      </w:r>
    </w:p>
    <w:p>
      <w:pPr>
        <w:pStyle w:val="ListParagraph"/>
        <w:numPr>
          <w:ilvl w:val="0"/>
          <w:numId w:val="1"/>
        </w:numPr>
        <w:spacing w:after="100"/>
      </w:pPr>
      <w:r>
        <w:rPr>
          <w:b/>
          <w:bCs/>
        </w:rPr>
        <w:t xml:space="preserve">Post-Go-Live Support and Hypercare Period</w:t>
      </w:r>
      <w:r>
        <w:t xml:space="preserve">: Vendors must provide a minimum of 4 months of hypercare support post-go-live, including a dedicated support team and weekly performance reviews.</w:t>
      </w:r>
    </w:p>
    <w:p>
      <w:pPr>
        <w:pStyle w:val="ListParagraph"/>
        <w:numPr>
          <w:ilvl w:val="0"/>
          <w:numId w:val="1"/>
        </w:numPr>
        <w:spacing w:after="100"/>
      </w:pPr>
      <w:r>
        <w:rPr>
          <w:b/>
          <w:bCs/>
        </w:rPr>
        <w:t xml:space="preserve">Feedback Collection and Continuous Improvement</w:t>
      </w:r>
      <w:r>
        <w:t xml:space="preserve">: Feedback mechanisms must be implemented to capture user experiences and identify improvement areas for subsequent releases.</w:t>
      </w:r>
    </w:p>
    <w:p>
      <w:pPr>
        <w:pStyle w:val="Heading5"/>
        <w:spacing w:before="200" w:after="150"/>
      </w:pPr>
      <w:r>
        <w:t xml:space="preserve">6. Delivery Assurance &amp; Governance</w:t>
      </w:r>
    </w:p>
    <w:p>
      <w:pPr>
        <w:pStyle w:val="ListParagraph"/>
        <w:numPr>
          <w:ilvl w:val="0"/>
          <w:numId w:val="1"/>
        </w:numPr>
        <w:spacing w:after="100"/>
      </w:pPr>
      <w:r>
        <w:rPr>
          <w:b/>
          <w:bCs/>
        </w:rPr>
        <w:t xml:space="preserve">Progress Reporting Cadence and Formats</w:t>
      </w:r>
      <w:r>
        <w:t xml:space="preserve">: Weekly progress reports and dashboards must be shared, highlighting progress against milestones, risks, and issues.</w:t>
      </w:r>
    </w:p>
    <w:p>
      <w:pPr>
        <w:pStyle w:val="ListParagraph"/>
        <w:numPr>
          <w:ilvl w:val="0"/>
          <w:numId w:val="1"/>
        </w:numPr>
        <w:spacing w:after="100"/>
      </w:pPr>
      <w:r>
        <w:rPr>
          <w:b/>
          <w:bCs/>
        </w:rPr>
        <w:t xml:space="preserve">KPIs and Success Metrics</w:t>
      </w:r>
      <w:r>
        <w:t xml:space="preserve">: Vendors must define and track KPIs such as case resolution time reduction, SLA compliance, and customer satisfaction improvements.</w:t>
      </w:r>
    </w:p>
    <w:p>
      <w:pPr>
        <w:pStyle w:val="ListParagraph"/>
        <w:numPr>
          <w:ilvl w:val="0"/>
          <w:numId w:val="1"/>
        </w:numPr>
        <w:spacing w:after="100"/>
      </w:pPr>
      <w:r>
        <w:rPr>
          <w:b/>
          <w:bCs/>
        </w:rPr>
        <w:t xml:space="preserve">Quality Assurance and Testing Coverage</w:t>
      </w:r>
      <w:r>
        <w:t xml:space="preserve">: Vendors must ensure comprehensive testing, covering functional, integration, performance, and security aspects.</w:t>
      </w:r>
    </w:p>
    <w:p>
      <w:pPr>
        <w:pStyle w:val="ListParagraph"/>
        <w:numPr>
          <w:ilvl w:val="0"/>
          <w:numId w:val="1"/>
        </w:numPr>
        <w:spacing w:after="100"/>
      </w:pPr>
      <w:r>
        <w:rPr>
          <w:b/>
          <w:bCs/>
        </w:rPr>
        <w:t xml:space="preserve">Compliance Checkpoints</w:t>
      </w:r>
      <w:r>
        <w:t xml:space="preserve">: At each milestone, vendors must demonstrate adherence to Emirates Airlines’ compliance standards, including data security, privacy, and architectural principles.</w:t>
      </w:r>
    </w:p>
    <w:p>
      <w:pPr>
        <w:pStyle w:val="ListParagraph"/>
        <w:numPr>
          <w:ilvl w:val="0"/>
          <w:numId w:val="1"/>
        </w:numPr>
        <w:spacing w:after="100"/>
      </w:pPr>
      <w:r>
        <w:rPr>
          <w:b/>
          <w:bCs/>
        </w:rPr>
        <w:t xml:space="preserve">Decision-Making Authority and Escalation Paths</w:t>
      </w:r>
      <w:r>
        <w:t xml:space="preserve">: Vendors must define a clear decision-making hierarchy and escalation path for resolving conflicts or delays.</w:t>
      </w:r>
    </w:p>
    <w:p>
      <w:pPr>
        <w:pStyle w:val="ListParagraph"/>
        <w:numPr>
          <w:ilvl w:val="0"/>
          <w:numId w:val="1"/>
        </w:numPr>
        <w:spacing w:after="100"/>
      </w:pPr>
      <w:r>
        <w:rPr>
          <w:b/>
          <w:bCs/>
        </w:rPr>
        <w:t xml:space="preserve">Vendor Performance Measurement Criteria</w:t>
      </w:r>
      <w:r>
        <w:t xml:space="preserve">: Performance will be measured based on milestone adherence, quality of deliverables, and achievement of business objectives.</w:t>
      </w:r>
    </w:p>
    <w:p>
      <w:pPr>
        <w:pStyle w:val="Heading5"/>
        <w:spacing w:before="200" w:after="150"/>
      </w:pPr>
      <w:r>
        <w:t xml:space="preserve">Emirates Airlines-Specific Compliance Standards</w:t>
      </w:r>
    </w:p>
    <w:p>
      <w:pPr>
        <w:spacing w:after="200"/>
      </w:pPr>
      <w:r>
        <w:t xml:space="preserve">Vendors must align with Emirates Airlines’ Architecture Principles, including:</w:t>
      </w:r>
    </w:p>
    <w:p>
      <w:pPr>
        <w:spacing w:after="100"/>
        <w:ind w:left="720"/>
      </w:pPr>
      <w:r>
        <w:rPr>
          <w:b w:val="false"/>
          <w:bCs w:val="false"/>
        </w:rPr>
        <w:t xml:space="preserve">1. </w:t>
      </w:r>
      <w:r>
        <w:rPr>
          <w:b/>
          <w:bCs/>
        </w:rPr>
        <w:t xml:space="preserve">Evolutionary Design</w:t>
      </w:r>
      <w:r>
        <w:t xml:space="preserve">: Solutions must be flexible and scalable to support current and future requirements.</w:t>
      </w:r>
    </w:p>
    <w:p>
      <w:pPr>
        <w:spacing w:after="100"/>
        <w:ind w:left="720"/>
      </w:pPr>
      <w:r>
        <w:rPr>
          <w:b w:val="false"/>
          <w:bCs w:val="false"/>
        </w:rPr>
        <w:t xml:space="preserve">2. </w:t>
      </w:r>
      <w:r>
        <w:rPr>
          <w:b/>
          <w:bCs/>
        </w:rPr>
        <w:t xml:space="preserve">Data Integration with EDP</w:t>
      </w:r>
      <w:r>
        <w:t xml:space="preserve">: All transactional data must integrate with the Enterprise Data Platform (EDP) in compliance with SLA-based integration requirements.</w:t>
      </w:r>
    </w:p>
    <w:p>
      <w:pPr>
        <w:spacing w:after="100"/>
        <w:ind w:left="720"/>
      </w:pPr>
      <w:r>
        <w:rPr>
          <w:b w:val="false"/>
          <w:bCs w:val="false"/>
        </w:rPr>
        <w:t xml:space="preserve">3. </w:t>
      </w:r>
      <w:r>
        <w:rPr>
          <w:b/>
          <w:bCs/>
        </w:rPr>
        <w:t xml:space="preserve">Operational Excellence</w:t>
      </w:r>
      <w:r>
        <w:t xml:space="preserve">: Systems must follow DevSecOps practices, ensure observability, and be designed for high resiliency.</w:t>
      </w:r>
    </w:p>
    <w:p>
      <w:pPr>
        <w:spacing w:after="100"/>
        <w:ind w:left="720"/>
      </w:pPr>
      <w:r>
        <w:rPr>
          <w:b w:val="false"/>
          <w:bCs w:val="false"/>
        </w:rPr>
        <w:t xml:space="preserve">4. </w:t>
      </w:r>
      <w:r>
        <w:rPr>
          <w:b/>
          <w:bCs/>
        </w:rPr>
        <w:t xml:space="preserve">Customer-Centric Design</w:t>
      </w:r>
      <w:r>
        <w:t xml:space="preserve">: The solution must deliver an omnichannel experience, adhere to accessibility standards, and ensure alignment with Emirates Privacy and Security Regulations.</w:t>
      </w:r>
    </w:p>
    <w:p>
      <w:pPr>
        <w:spacing w:after="100"/>
        <w:ind w:left="720"/>
      </w:pPr>
      <w:r>
        <w:rPr>
          <w:b w:val="false"/>
          <w:bCs w:val="false"/>
        </w:rPr>
        <w:t xml:space="preserve">5. </w:t>
      </w:r>
      <w:r>
        <w:rPr>
          <w:b/>
          <w:bCs/>
        </w:rPr>
        <w:t xml:space="preserve">Buy vs Build Standards</w:t>
      </w:r>
      <w:r>
        <w:t xml:space="preserve">: Off-the-shelf solutions must meet at least 75% of functional and non-functional requirements out of the box.</w:t>
      </w:r>
    </w:p>
    <w:p>
      <w:pPr>
        <w:spacing w:after="100"/>
        <w:ind w:left="720"/>
      </w:pPr>
      <w:r>
        <w:rPr>
          <w:b w:val="false"/>
          <w:bCs w:val="false"/>
        </w:rPr>
        <w:t xml:space="preserve">6. </w:t>
      </w:r>
      <w:r>
        <w:rPr>
          <w:b/>
          <w:bCs/>
        </w:rPr>
        <w:t xml:space="preserve">Modern Architecture</w:t>
      </w:r>
      <w:r>
        <w:t xml:space="preserve">: Proposed systems must adopt modular, cloud-agnostic architectures with observability and fault tolerance.</w:t>
      </w:r>
    </w:p>
    <w:p>
      <w:pPr>
        <w:spacing w:after="200"/>
      </w:pPr>
      <w:r>
        <w:t xml:space="preserve">---</w:t>
      </w: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2025-11-26T03:23:34.481Z</dcterms:created>
  <dcterms:modified xsi:type="dcterms:W3CDTF">2025-11-26T03:23:34.481Z</dcterms:modified>
</cp:coreProperties>
</file>

<file path=docProps/custom.xml><?xml version="1.0" encoding="utf-8"?>
<Properties xmlns="http://schemas.openxmlformats.org/officeDocument/2006/custom-properties" xmlns:vt="http://schemas.openxmlformats.org/officeDocument/2006/docPropsVTypes"/>
</file>