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StoneSVN 快速使用指南</w:t>
      </w:r>
    </w:p>
    <w:p>
      <w:pPr>
        <w:pStyle w:val="Subtitle"/>
      </w:pPr>
      <w:r>
        <w:t>图文详解版  从打开项目到完成一次可靠提交</w:t>
      </w:r>
    </w:p>
    <w:p>
      <w:r>
        <w:rPr>
          <w:b w:val="0"/>
        </w:rPr>
        <w:t>适用版本  1.1.2    编写日期  2026年10月18日</w:t>
      </w:r>
    </w:p>
    <w:p>
      <w:r>
        <w:rPr>
          <w:b w:val="0"/>
        </w:rPr>
        <w:t>这份指南面向第一次使用 StoneSVN 的项目成员，也适合需要快速查找操作步骤的日常用户。按第 2 至第 5 章操作，可以完成准备环境、打开项目、审阅修改和提交；遇到冲突或需要暂存工作时，再查阅对应章节。</w:t>
      </w:r>
    </w:p>
    <w:p>
      <w:r>
        <w:rPr>
          <w:b/>
        </w:rPr>
        <w:t>日常操作的关键是先确认项目和文件状态，再审阅差异，只提交当前任务需要的变更。刷新、更新、提交和还原各有不同作用，不能互相替代。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" name="Picture 1" descr="图 1  浅色工作区  左侧项目列表  中间文件状态  右侧代码差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asvn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浅色工作区  左侧项目列表  中间文件状态  右侧代码差异</w:t>
      </w:r>
    </w:p>
    <w:p>
      <w:pPr>
        <w:pStyle w:val="Heading2"/>
      </w:pPr>
      <w:r>
        <w:t>阅读路线</w:t>
      </w:r>
    </w:p>
    <w:p>
      <w:r>
        <w:rPr>
          <w:b w:val="0"/>
        </w:rPr>
        <w:t>第 2 至 3 章  准备环境与理解状态</w:t>
        <w:br/>
        <w:t>第 4 至 5 章  更新、审阅与提交</w:t>
        <w:br/>
        <w:t>第 6 至 8 章  冲突、贮藏与文件管理</w:t>
        <w:br/>
        <w:t>第 9 至 10 章  历史查询、设置与排错</w:t>
      </w:r>
    </w:p>
    <w:p>
      <w:r>
        <w:rPr>
          <w:b w:val="0"/>
        </w:rPr>
        <w:t>截图说明  界面图来自项目内的 1.1.2 开发界面，使用虚构工作区数据；路径、版本号、仓库地址和代码仅用于演示。</w:t>
      </w:r>
    </w:p>
    <w:p>
      <w:pPr>
        <w:pStyle w:val="Heading1"/>
      </w:pPr>
      <w:r>
        <w:t>2  准备环境并打开项目</w:t>
      </w:r>
    </w:p>
    <w:p>
      <w:pPr>
        <w:pStyle w:val="Heading2"/>
      </w:pPr>
      <w:r>
        <w:t>先确认 SVN 命令可用</w:t>
      </w:r>
    </w:p>
    <w:p>
      <w:r>
        <w:rPr>
          <w:b w:val="0"/>
        </w:rPr>
        <w:t>StoneSVN 调用本机 SVN 命令行工具完成版本控制操作，需要先安装 SVN。它不代替服务端，也不会因为打开普通文件夹就创建远端仓库。连接项目之前，准备团队提供的仓库 URL、访问权限和本地保存位置。</w:t>
      </w:r>
    </w:p>
    <w:p>
      <w:r>
        <w:rPr>
          <w:b w:val="0"/>
        </w:rPr>
        <w:t>在终端运行：svn --version --quiet。正常时应输出版本号。若软件提示找不到 SVN，在“设置”的“SVN 可执行文件”中填写实际程序文件路径，而不是安装目录；留空时使用系统环境中的 svn。</w:t>
      </w:r>
    </w:p>
    <w:p>
      <w:pPr>
        <w:pStyle w:val="Heading2"/>
      </w:pPr>
      <w:r>
        <w:t>已有本地工作副本</w:t>
      </w:r>
    </w:p>
    <w:p>
      <w:r>
        <w:rPr>
          <w:b w:val="0"/>
        </w:rPr>
        <w:t>1. 点击左侧项目栏底部的“添加本地副本”，选择已经检出的 SVN 项目目录。旧版文档可能称为“打开工作区”。</w:t>
      </w:r>
    </w:p>
    <w:p>
      <w:r>
        <w:rPr>
          <w:b w:val="0"/>
        </w:rPr>
        <w:t>2. 优先选择含有 .svn 元数据的工作副本根目录。普通下载目录、解压目录通常不是工作副本。</w:t>
      </w:r>
    </w:p>
    <w:p>
      <w:r>
        <w:rPr>
          <w:b w:val="0"/>
        </w:rPr>
        <w:t>3. 等待状态验证完成，核对项目路径与文件列表。多个相似项目并存时，先看完整路径再操作。</w:t>
      </w:r>
    </w:p>
    <w:p>
      <w:pPr>
        <w:pStyle w:val="Heading2"/>
      </w:pPr>
      <w:r>
        <w:t>第一次从仓库取得项目</w:t>
      </w:r>
    </w:p>
    <w:p>
      <w:r>
        <w:rPr>
          <w:b w:val="0"/>
        </w:rPr>
        <w:t>点击“添加远程副本”进入检出页面，填写下列内容后开始检出。检出会在本地建立工作副本，之后可以直接从项目栏进入。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填写示例与核对要点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仓库 URL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https://svn.example.com/repo/trunk</w:t>
              <w:br/>
              <w:t>使用团队提供的完整地址，确认指向正确项目或分支。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目标目录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选择专用本地目录，避免与已有项目内容混用。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版本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留空取得最新版本；需要历史快照时输入明确的版本号。</w:t>
            </w:r>
          </w:p>
        </w:tc>
      </w:tr>
    </w:tbl>
    <w:p>
      <w:pPr>
        <w:spacing w:after="60" w:line="40" w:lineRule="exact"/>
      </w:pPr>
      <w:r>
        <w:rPr>
          <w:sz w:val="2"/>
        </w:rPr>
      </w:r>
    </w:p>
    <w:p>
      <w:pPr>
        <w:pStyle w:val="Heading2"/>
      </w:pPr>
      <w:r>
        <w:t>掌握一次完整操作的顺序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386840"/>
            <wp:docPr id="2" name="Picture 2" descr="图 2  推荐日常流程  每次提交围绕一个清晰任务展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8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推荐日常流程  每次提交围绕一个清晰任务展开</w:t>
      </w:r>
    </w:p>
    <w:p>
      <w:r>
        <w:rPr>
          <w:b w:val="0"/>
        </w:rPr>
        <w:t>完成标志  项目出现在左侧列表，状态核对成功，能够选择文件查看差异。若连接失败，先阅读错误，再检查 URL、网络和权限。</w:t>
      </w:r>
    </w:p>
    <w:p>
      <w:pPr>
        <w:pStyle w:val="Heading1"/>
      </w:pPr>
      <w:r>
        <w:t>3  看懂工作区与文件状态</w:t>
      </w:r>
    </w:p>
    <w:p>
      <w:r>
        <w:rPr>
          <w:b w:val="0"/>
        </w:rPr>
        <w:t>工作区集中显示需要关注的文件，不一定列出所有正常文件。左侧用于切换项目，顶部用于切换功能，中间按状态筛选，右侧显示所选文件的 Diff。属性页可查看较完整的项目文件树。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19334"/>
            <wp:docPr id="3" name="Picture 3" descr="图 3  文件状态局部  分类数量与文件行帮助定位本次变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1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文件状态局部  分类数量与文件行帮助定位本次变更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600"/>
        <w:gridCol w:w="5112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修改 M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受控文件有本地变化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检查 Diff，再提交、贮藏或还原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新增 A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已安排加入版本控制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确认内容后提交；尚未上传仓库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删除 D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已安排受控删除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核对范围，再提交或还原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替换 R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原条目被新条目替换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检查完整操作及目录关系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未跟踪 ?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文件在磁盘上但未受控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需要共享时先加入版本控制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冲突 C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无法自动协调变化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处理内容，再标记解决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缺失 !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受控文件在磁盘上不存在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恢复文件或安排版本控制删除</w:t>
            </w:r>
          </w:p>
        </w:tc>
      </w:tr>
    </w:tbl>
    <w:p>
      <w:pPr>
        <w:spacing w:after="60" w:line="40" w:lineRule="exact"/>
      </w:pPr>
      <w:r>
        <w:rPr>
          <w:sz w:val="2"/>
        </w:rPr>
      </w:r>
    </w:p>
    <w:p>
      <w:pPr>
        <w:pStyle w:val="Heading2"/>
      </w:pPr>
      <w:r>
        <w:t>缓存提示意味着什么</w:t>
      </w:r>
    </w:p>
    <w:p>
      <w:r>
        <w:rPr>
          <w:b w:val="0"/>
        </w:rPr>
        <w:t>重新进入工作区时，软件可能先展示缓存文件列表，再核对磁盘状态。出现缓存或未验证提示时，先等验证结束；提交、创建贮藏及工作区还原／删除会暂时禁用。点击刷新可执行完整核对；验证失败时按错误处理，不能把旧列表当作最新结果。</w:t>
      </w:r>
    </w:p>
    <w:p>
      <w:r>
        <w:rPr>
          <w:b w:val="0"/>
        </w:rPr>
        <w:t>辨别缺失与删除  在文件管理器中直接移走受控文件，可能形成“缺失”；经过 SVN 安排的删除才是待提交的“删除”。先判断意图，避免误把缺失当作已经安排完成的删除。</w:t>
      </w:r>
    </w:p>
    <w:p>
      <w:pPr>
        <w:pStyle w:val="Heading1"/>
      </w:pPr>
      <w:r>
        <w:t>4  先更新再审阅代码差异</w:t>
      </w:r>
    </w:p>
    <w:p>
      <w:pPr>
        <w:pStyle w:val="Heading2"/>
      </w:pPr>
      <w:r>
        <w:t>更新远端内容</w:t>
      </w:r>
    </w:p>
    <w:p>
      <w:r>
        <w:rPr>
          <w:b w:val="0"/>
        </w:rPr>
        <w:t>1. 确认当前项目路径。若已有尚未完成的工作，先保存编辑器内容，并按需要备份或贮藏支持的修改。</w:t>
      </w:r>
    </w:p>
    <w:p>
      <w:r>
        <w:rPr>
          <w:b w:val="0"/>
        </w:rPr>
        <w:t>2. 进入“更新”，点击“检查”，查看本地版本、远端版本和列出的提交记录。</w:t>
      </w:r>
    </w:p>
    <w:p>
      <w:r>
        <w:rPr>
          <w:b w:val="0"/>
        </w:rPr>
        <w:t>3. 点击“更新”，等待操作结束。更新会取得远端变化，可能合并本地修改，也可能产生冲突。</w:t>
      </w:r>
    </w:p>
    <w:p>
      <w:r>
        <w:rPr>
          <w:b w:val="0"/>
        </w:rPr>
        <w:t>4. 返回工作区检查结果。出现冲突时先按第 6 章处理；没有冲突也应继续检查本地 Diff。</w:t>
      </w:r>
    </w:p>
    <w:p>
      <w:r>
        <w:rPr>
          <w:b w:val="0"/>
        </w:rPr>
        <w:t>刷新核对本地状态，更新才会取得远端文件。更新页列出的远端提交数量不代表仓库历史总数；更新成功也不会自动提交你的本地修改。</w:t>
      </w:r>
    </w:p>
    <w:p>
      <w:pPr>
        <w:pStyle w:val="Heading2"/>
      </w:pPr>
      <w:r>
        <w:t>用 Diff 确认改了什么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4108793"/>
            <wp:docPr id="4" name="Picture 4" descr="图 4  Diff 局部  红色减号表示删除  绿色加号表示新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0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Diff 局部  红色减号表示删除  绿色加号表示新增</w:t>
      </w:r>
    </w:p>
    <w:p>
      <w:r>
        <w:rPr>
          <w:b w:val="0"/>
        </w:rPr>
        <w:t>选择工作区中的文件，阅读右侧差异。示例中主题和刷新间隔发生变化，并新增预览开关。审阅时既要确认数值，也要检查相邻上下文，判断是否带入调试输出、临时配置或无关格式变化。</w:t>
      </w:r>
    </w:p>
    <w:p>
      <w:r>
        <w:rPr>
          <w:b w:val="0"/>
        </w:rPr>
        <w:t>常用比较包括“工作副本 vs 基准”、两个明确版本之间的差异，以及从时间线进入某次提交的差异。版本间比较需要填写两个版本号。行内查找区分大小写，可通过上一个／下一个匹配定位；复制按钮可复制完整 Diff。</w:t>
      </w:r>
    </w:p>
    <w:p>
      <w:r>
        <w:rPr>
          <w:b w:val="0"/>
        </w:rPr>
        <w:t>二进制文件不一定能展示逐行差异。没有差异、无法显示文本和加载失败是不同结果，应结合提示与文件类型判断，必要时用对应编辑器检查。</w:t>
      </w:r>
    </w:p>
    <w:p>
      <w:pPr>
        <w:pStyle w:val="Heading1"/>
      </w:pPr>
      <w:r>
        <w:t>5  选择文件并完成一次提交</w:t>
      </w:r>
    </w:p>
    <w:p>
      <w:r>
        <w:rPr>
          <w:b w:val="0"/>
        </w:rPr>
        <w:t>提交将选中的本地变更发送到仓库，成功后产生新的仓库版本。一次提交尽量对应一个完整任务，便于审查、查错和以后追踪原因。未勾选的普通修改继续保留在本地。</w:t>
      </w:r>
    </w:p>
    <w:p>
      <w:pPr>
        <w:pStyle w:val="Heading2"/>
      </w:pPr>
      <w:r>
        <w:t>操作步骤</w:t>
      </w:r>
    </w:p>
    <w:p>
      <w:r>
        <w:rPr>
          <w:b w:val="0"/>
        </w:rPr>
        <w:t>1. 打开“提交”，先核对当前工作区路径和文件树。</w:t>
      </w:r>
    </w:p>
    <w:p>
      <w:r>
        <w:rPr>
          <w:b w:val="0"/>
        </w:rPr>
        <w:t>2. 勾选本次任务涉及的文件。目录行会联动子项，展开箭头和“对比”按钮不会改变勾选。</w:t>
      </w:r>
    </w:p>
    <w:p>
      <w:r>
        <w:rPr>
          <w:b w:val="0"/>
        </w:rPr>
        <w:t>3. 逐个检查差异。审阅多个文件时使用上一个／下一个，完成后返回提交页。</w:t>
      </w:r>
    </w:p>
    <w:p>
      <w:r>
        <w:rPr>
          <w:b w:val="0"/>
        </w:rPr>
        <w:t>4. 检查顶部“已选／总数”和隐藏选择提示，确认没有混入其他任务的文件。</w:t>
      </w:r>
    </w:p>
    <w:p>
      <w:r>
        <w:rPr>
          <w:b w:val="0"/>
        </w:rPr>
        <w:t>5. 填写提交说明，点击提交，等待明确的成功结果。记录新版本号，再刷新检查剩余修改。</w:t>
      </w:r>
    </w:p>
    <w:p>
      <w:pPr>
        <w:pStyle w:val="Heading2"/>
      </w:pPr>
      <w:r>
        <w:t>搜索和筛选不会取消选择</w:t>
      </w:r>
    </w:p>
    <w:p>
      <w:r>
        <w:rPr>
          <w:b w:val="0"/>
        </w:rPr>
        <w:t>被搜索条件或状态分类隐藏的已选项目仍会提交。表头全选作用于当前提交范围中的全部项目，包括被筛选隐藏的项目。滚动或折叠目录也不会取消选择，因此不能只根据当前屏幕可见行判断提交范围。</w:t>
      </w:r>
    </w:p>
    <w:p>
      <w:pPr>
        <w:pStyle w:val="Heading2"/>
      </w:pPr>
      <w:r>
        <w:t>新文件需要先加入版本控制</w:t>
      </w:r>
    </w:p>
    <w:p>
      <w:r>
        <w:rPr>
          <w:b w:val="0"/>
        </w:rPr>
        <w:t>未跟踪文件必须先安排加入。遇到未跟踪目录，使用“加入版本控制并预览”检查其内容，避免把日志、构建产物或临时文件带入。安排新增后即使取消本次提交，新增状态仍可能保留，需回工作区检查。</w:t>
      </w:r>
    </w:p>
    <w:p>
      <w:pPr>
        <w:pStyle w:val="Heading2"/>
      </w:pPr>
      <w:r>
        <w:t>写清改动与原因</w:t>
      </w:r>
    </w:p>
    <w:p>
      <w:r>
        <w:rPr>
          <w:b w:val="0"/>
        </w:rPr>
        <w:t>示例任务  修改 app.ini 的默认连接超时时间，同时本地另有未完成的界面调整。只勾选配置文件，说明可写为：</w:t>
      </w:r>
    </w:p>
    <w:p>
      <w:r>
        <w:rPr>
          <w:b w:val="0"/>
        </w:rPr>
        <w:t>修正默认连接超时时间</w:t>
        <w:br/>
        <w:br/>
        <w:t>将默认值调整为团队约定值，避免首次连接过早超时。</w:t>
      </w:r>
    </w:p>
    <w:p>
      <w:r>
        <w:rPr>
          <w:b w:val="0"/>
        </w:rPr>
        <w:t>最近提交信息可以回填，但应改成符合本次变更的说明。删除、替换、复制或移动目录时，要完整选择所需范围；软件提示无法部分提交时，按目录关系处理，不要绕过检查。</w:t>
      </w:r>
    </w:p>
    <w:p>
      <w:pPr>
        <w:pStyle w:val="Heading2"/>
      </w:pPr>
      <w:r>
        <w:t>提交后如何判断成功</w:t>
      </w:r>
    </w:p>
    <w:p>
      <w:r>
        <w:rPr>
          <w:b w:val="0"/>
        </w:rPr>
        <w:t>以操作结果、生成的版本和刷新后的状态共同判断。尚未提交的文件继续显示是正常情况。若提交失败或网络中断，保留完整错误，先核对工作区与时间线，再决定下一步，避免直接重复提交。</w:t>
      </w:r>
    </w:p>
    <w:p>
      <w:pPr>
        <w:pStyle w:val="Heading1"/>
      </w:pPr>
      <w:r>
        <w:t>6  处理冲突与谨慎还原</w:t>
      </w:r>
    </w:p>
    <w:p>
      <w:r>
        <w:rPr>
          <w:b w:val="0"/>
        </w:rPr>
        <w:t>冲突表示本地变化和远端变化无法自动协调。解决冲突的目标是得到正确的最终文件；“标记解决”只是清除冲突状态，不代表内容已经正确，也不会自动提交。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386840"/>
            <wp:docPr id="5" name="Picture 5" descr="图 5  冲突处理流程  内容检查应在标记解决之前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8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冲突处理流程  内容检查应在标记解决之前完成</w:t>
      </w:r>
    </w:p>
    <w:p>
      <w:pPr>
        <w:pStyle w:val="Heading2"/>
      </w:pPr>
      <w:r>
        <w:t>选择合适的解决方式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240"/>
        <w:gridCol w:w="496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9"/>
              </w:rPr>
              <w:t>方式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适用情况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执行前核对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保留当前内容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已手动编辑并完成合并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清除冲突标记，保存文件并检查最终内容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使用本地版本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确认采用本地一侧的完整版本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会替换整个文件及冲突属性，检查是否舍弃所需远端变化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使用仓库版本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确认采用仓库一侧的完整版本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会替换整个文件及冲突属性，检查是否舍弃所需本地变化</w:t>
            </w:r>
          </w:p>
        </w:tc>
      </w:tr>
    </w:tbl>
    <w:p>
      <w:pPr>
        <w:spacing w:after="60" w:line="40" w:lineRule="exact"/>
      </w:pPr>
      <w:r>
        <w:rPr>
          <w:sz w:val="2"/>
        </w:rPr>
      </w:r>
    </w:p>
    <w:p>
      <w:r>
        <w:rPr>
          <w:b w:val="0"/>
        </w:rPr>
        <w:t>1. 在工作区冲突列表或属性页选择“解决冲突…”。先阅读涉及路径与提示。</w:t>
      </w:r>
    </w:p>
    <w:p>
      <w:r>
        <w:rPr>
          <w:b w:val="0"/>
        </w:rPr>
        <w:t>2. 手动合并时，在编辑器处理冲突段，删除 &lt;&lt;&lt;&lt;&lt;&lt;&lt;、=======、&gt;&gt;&gt;&gt;&gt;&gt;&gt; 等冲突标记，保留双方需要的内容。</w:t>
      </w:r>
    </w:p>
    <w:p>
      <w:r>
        <w:rPr>
          <w:b w:val="0"/>
        </w:rPr>
        <w:t>3. 选择对应的解决方式。目录或树冲突先整理文件和目录关系，再标记解决。</w:t>
      </w:r>
    </w:p>
    <w:p>
      <w:r>
        <w:rPr>
          <w:b w:val="0"/>
        </w:rPr>
        <w:t>4. 刷新确认状态，查看最终 Diff，并执行项目所需的功能检查，之后单独提交解决结果。</w:t>
      </w:r>
    </w:p>
    <w:p>
      <w:pPr>
        <w:pStyle w:val="Heading2"/>
      </w:pPr>
      <w:r>
        <w:t>还原本地修改与恢复历史版本不同</w:t>
      </w:r>
    </w:p>
    <w:p>
      <w:r>
        <w:rPr>
          <w:b w:val="0"/>
        </w:rPr>
        <w:t>“还原本地修改”丢弃尚未提交的变更，不会撤销已经存在的仓库历史。目录递归还原会影响子项，执行前应查看影响范围；复制或移动目录中还可能存在会受影响的未跟踪内容。需要保留的工作先独立备份，或确认符合贮藏范围后保存。</w:t>
      </w:r>
    </w:p>
    <w:p>
      <w:r>
        <w:rPr>
          <w:b w:val="0"/>
        </w:rPr>
        <w:t>“恢复到…”把历史内容恢复成当前工作副本的本地变化，需要审阅并另行提交。目录恢复要求目录干净、完整且版本一致，不应当把它当作放弃当前修改的快捷方式。</w:t>
      </w:r>
    </w:p>
    <w:p>
      <w:r>
        <w:rPr>
          <w:b w:val="0"/>
        </w:rPr>
        <w:t>删除未跟踪文件会永久删除本地目标，目录内容也会一并删除，不进入回收站。受控文件的安排删除则需要提交后才进入仓库历史，两种操作应分别判断。</w:t>
      </w:r>
    </w:p>
    <w:p>
      <w:pPr>
        <w:pStyle w:val="Heading1"/>
      </w:pPr>
      <w:r>
        <w:t>7  临时中断任务时使用贮藏</w:t>
      </w:r>
    </w:p>
    <w:p>
      <w:r>
        <w:rPr>
          <w:b w:val="0"/>
        </w:rPr>
        <w:t>贮藏适合正在修改文本文件、临时需要切换工作的场景。它按工作区路径保存在本机软件数据中，不是仓库提交，也不是团队共享备份。重要工作仍应提交或保存独立备份。</w:t>
      </w:r>
    </w:p>
    <w:p>
      <w:pPr>
        <w:pStyle w:val="Heading2"/>
      </w:pPr>
      <w:r>
        <w:t>创建贮藏</w:t>
      </w:r>
    </w:p>
    <w:p>
      <w:r>
        <w:rPr>
          <w:b w:val="0"/>
        </w:rPr>
        <w:t>1. 打开“贮藏”，点击“创建贮藏”，查看可以保存的内容。</w:t>
      </w:r>
    </w:p>
    <w:p>
      <w:r>
        <w:rPr>
          <w:b w:val="0"/>
        </w:rPr>
        <w:t>2. 按文件或文本分块选择要暂存的修改；未跟踪文件和目录按整文件选择。</w:t>
      </w:r>
    </w:p>
    <w:p>
      <w:r>
        <w:rPr>
          <w:b w:val="0"/>
        </w:rPr>
        <w:t>3. 填写能识别任务的名称，例如“连接超时修复 进行中”。</w:t>
      </w:r>
    </w:p>
    <w:p>
      <w:r>
        <w:rPr>
          <w:b w:val="0"/>
        </w:rPr>
        <w:t>4. 点击“保存并从工作副本移除”。成功后，选中的改动从工作副本移除，未选中的内容继续保留。</w:t>
      </w:r>
    </w:p>
    <w:p>
      <w:r>
        <w:rPr>
          <w:b w:val="0"/>
        </w:rPr>
        <w:t>5. 回到工作区刷新，确认当前任务需要的干净程度，不要仅凭贮藏名称判断已保存范围。</w:t>
      </w:r>
    </w:p>
    <w:p>
      <w:pPr>
        <w:pStyle w:val="Heading2"/>
      </w:pPr>
      <w:r>
        <w:t>恢复时先核对工作区</w:t>
      </w:r>
    </w:p>
    <w:p>
      <w:r>
        <w:rPr>
          <w:b w:val="0"/>
        </w:rPr>
        <w:t>回到创建贮藏时的工作区路径，检查当前文件是否又发生变化。应用后审阅 Diff，确认没有混入当前任务不需要的内容。应用失败时先检查实际残留，不要连续重复应用。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88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恢复到工作副本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贮藏记录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应用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尝试恢复保存内容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保留，便于核对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弹出并删除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应用成功后恢复内容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成功后删除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删除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不恢复，也不改变当前工作副本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删除记录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复制或导出 patch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只取得文本补丁部分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不会导出另存的未跟踪文件内容</w:t>
            </w:r>
          </w:p>
        </w:tc>
      </w:tr>
    </w:tbl>
    <w:p>
      <w:pPr>
        <w:spacing w:after="60" w:line="40" w:lineRule="exact"/>
      </w:pPr>
      <w:r>
        <w:rPr>
          <w:sz w:val="2"/>
        </w:rPr>
      </w:r>
    </w:p>
    <w:p>
      <w:pPr>
        <w:pStyle w:val="Heading2"/>
      </w:pPr>
      <w:r>
        <w:t>开始前确认支持范围</w:t>
      </w:r>
    </w:p>
    <w:p>
      <w:r>
        <w:rPr>
          <w:b w:val="0"/>
        </w:rPr>
        <w:t>可选内容以界面预览为准。受控文件的冲突、仅属性修改和非文本变更暂不支持按此方式贮藏；未跟踪文件恢复后仍保持未跟踪状态。仅保存未跟踪文件时，可能没有可导出的文本 patch。</w:t>
      </w:r>
    </w:p>
    <w:p>
      <w:r>
        <w:rPr>
          <w:b w:val="0"/>
        </w:rPr>
        <w:t>示例  当前修改了 config.ts，同时新建 notes.txt。若两者都需暂存，应分别核对文本修改和未跟踪文件是否勾选；只导出 patch 不能代替备份 notes.txt。</w:t>
      </w:r>
    </w:p>
    <w:p>
      <w:r>
        <w:rPr>
          <w:b w:val="0"/>
        </w:rPr>
        <w:t>若提示“贮藏已保存，但未能从工作副本移除改动”，说明记录已经保存，但原目录可能仍有修改。先刷新并比对范围，再处理后续工作。移动工作区路径后记录不会自动跟随；清理软件本地数据也可能使记录丢失。</w:t>
      </w:r>
    </w:p>
    <w:p>
      <w:pPr>
        <w:pStyle w:val="Heading1"/>
      </w:pPr>
      <w:r>
        <w:t>8  在属性页管理文件和目录</w:t>
      </w:r>
    </w:p>
    <w:p>
      <w:r>
        <w:rPr>
          <w:b w:val="0"/>
        </w:rPr>
        <w:t>属性页适合查看文件树、基本信息、仓库 URL 和 SVN 属性，并对选中的受控目标执行重命名、移动、还原或删除。操作前先核对树中的选中路径，避免把目录操作误用于整个项目。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 descr="图 6  属性页  顶部操作栏作用于文件树中选中的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nesvn-proper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属性页  顶部操作栏作用于文件树中选中的目标</w:t>
      </w:r>
    </w:p>
    <w:p>
      <w:pPr>
        <w:pStyle w:val="Heading2"/>
      </w:pPr>
      <w:r>
        <w:t>重命名和移动后仍要提交</w:t>
      </w:r>
    </w:p>
    <w:p>
      <w:r>
        <w:rPr>
          <w:b w:val="0"/>
        </w:rPr>
        <w:t>使用属性页的“重命名…”或“移动到…”可保留 SVN 历史。移动目标填写相对于工作副本根目录的完整路径，包含目标文件名；目标父目录应已纳入版本控制。完成后检查新旧路径与子项状态，再提交完整变更。移动目录不支持任意拆分提交。</w:t>
      </w:r>
    </w:p>
    <w:p>
      <w:pPr>
        <w:pStyle w:val="Heading2"/>
      </w:pPr>
      <w:r>
        <w:t>属性与加入版本控制</w:t>
      </w:r>
    </w:p>
    <w:p>
      <w:r>
        <w:rPr>
          <w:b w:val="0"/>
        </w:rPr>
        <w:t>属性修改先应用到本地工作副本，再随提交保存到仓库。未跟踪项目可以在属性页加入版本控制；普通新增计划也可取消并保留本地文件。复制或移动形成的新增不属于普通新增，不能按同样方式取消。</w:t>
      </w:r>
    </w:p>
    <w:p>
      <w:pPr>
        <w:pStyle w:val="Heading2"/>
      </w:pPr>
      <w:r>
        <w:t>仓库搬家时使用地址迁移</w:t>
      </w:r>
    </w:p>
    <w:p>
      <w:r>
        <w:rPr>
          <w:b w:val="0"/>
        </w:rPr>
        <w:t>在工作区仓库信息中选择“迁移仓库地址…”，填写当前工作副本对应的新完整 URL。此操作仅适用于同一仓库搬迁，SVN 会校验仓库身份；它不切换分支，也不会自动迁移外部工作副本。</w:t>
      </w:r>
    </w:p>
    <w:p>
      <w:r>
        <w:rPr>
          <w:b w:val="0"/>
        </w:rPr>
        <w:t>功能边界  切换分支 Switch 和通用合并 Merge 暂无独立界面入口，使用其他 SVN 客户端或命令行完成后，回到 StoneSVN 刷新。</w:t>
      </w:r>
    </w:p>
    <w:p>
      <w:pPr>
        <w:pStyle w:val="Heading1"/>
      </w:pPr>
      <w:r>
        <w:t>9  查询历史并调整显示设置</w:t>
      </w:r>
    </w:p>
    <w:p>
      <w:pPr>
        <w:pStyle w:val="Heading2"/>
      </w:pPr>
      <w:r>
        <w:t>时间线用来查看已提交变化</w:t>
      </w:r>
    </w:p>
    <w:p>
      <w:r>
        <w:rPr>
          <w:b w:val="0"/>
        </w:rPr>
        <w:t>进入“时间线”，默认每页显示 20 条提交，使用上一页／下一页浏览。作者、关键词与日期范围可以组合筛选，填写后点击查询；无结果时先检查条件，再用重置清除筛选。长作者名和说明省略显示，可悬停查看全文。</w:t>
      </w:r>
    </w:p>
    <w:p>
      <w:r>
        <w:rPr>
          <w:b w:val="0"/>
        </w:rPr>
        <w:t>点击提交记录查看完整说明和涉及路径，再选择文件查看这次提交的差异。查尚未提交的修改要回工作区；时间线只展示已经进入仓库的历史。</w:t>
      </w:r>
    </w:p>
    <w:p>
      <w:pPr>
        <w:pStyle w:val="Heading2"/>
      </w:pPr>
      <w:r>
        <w:t>追溯按文件查看历史</w:t>
      </w:r>
    </w:p>
    <w:p>
      <w:r>
        <w:rPr>
          <w:b w:val="0"/>
        </w:rPr>
        <w:t>在“追溯”中选择或输入当前工作区内的文件，点击加载，可查看该文件的版本、作者、时间和提交说明，并进入对应差异。当前页面是文件提交历史视图；需要逐行定位最后修改者时，使用 SVN CLI 的 svn blame 或其他支持逐行注解的客户端。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 descr="图 7  深色主题  与浅色主题保持相同的文件状态与操作含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asvn-workspace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深色主题  与浅色主题保持相同的文件状态与操作含义</w:t>
      </w:r>
    </w:p>
    <w:p>
      <w:pPr>
        <w:pStyle w:val="Heading2"/>
      </w:pPr>
      <w:r>
        <w:t>常用设置</w:t>
      </w:r>
    </w:p>
    <w:p>
      <w:r>
        <w:rPr>
          <w:b w:val="0"/>
        </w:rPr>
        <w:t>主题支持浅色、深色和跟随系统；语言支持简体中文、繁体中文、英语、日语、韩语。默认编码影响相关内容解码，不会自动转换项目文件；出现乱码时先确认实际编码，不要用还原尝试修复显示。</w:t>
      </w:r>
    </w:p>
    <w:p>
      <w:r>
        <w:rPr>
          <w:b w:val="0"/>
        </w:rPr>
        <w:t>文件过滤为本机全局规则，默认关闭。启用后匹配文件不出现在变更列表和提交候选中，但不改变 SVN 受控状态或更新行为。默认 .gitignore 只过滤该文件本身，不读取其中规则；遇到“文件不见了”，先检查状态分类和过滤开关。</w:t>
      </w:r>
    </w:p>
    <w:p>
      <w:r>
        <w:rPr>
          <w:b w:val="0"/>
        </w:rPr>
        <w:t>连接提示应分别判断账号、TLS 与证书问题。仅对可信服务器确认兼容或证书例外；可在“已记住的服务器”中移除记录，下一次连接会重新验证。</w:t>
      </w:r>
    </w:p>
    <w:p>
      <w:pPr>
        <w:pStyle w:val="Heading1"/>
      </w:pPr>
      <w:r>
        <w:t>10  常见问题与操作速查</w:t>
      </w:r>
    </w:p>
    <w:p>
      <w:pPr>
        <w:pStyle w:val="Heading2"/>
      </w:pPr>
      <w:r>
        <w:t>按现象排查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检查顺序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找不到 SVN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终端验证版本 → 设置程序文件路径 → 重启软件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不是工作副本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确认目录和 .svn 元数据；尚未检出则添加远程副本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操作按钮不可用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检查缓存验证提示、当前操作和是否选择适用目标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文件未显示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核对工作区路径 → 状态分类 → 文件过滤 → 刷新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工作副本被锁定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确认没有其他 SVN 操作在执行，再使用 Cleanup；持续失败保留原始错误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更新后有冲突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检查涉及路径 → 整理内容 → 标记解决 → 审阅并提交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认证或连接失败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核对 URL、账号权限、网络和证书，按原始错误定位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贮藏记录不见了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回到创建时的工作区路径，检查是否清理过软件数据</w:t>
            </w:r>
          </w:p>
        </w:tc>
      </w:tr>
    </w:tbl>
    <w:p>
      <w:pPr>
        <w:spacing w:after="60" w:line="40" w:lineRule="exact"/>
      </w:pPr>
      <w:r>
        <w:rPr>
          <w:sz w:val="2"/>
        </w:rPr>
      </w:r>
    </w:p>
    <w:p>
      <w:pPr>
        <w:pStyle w:val="Heading2"/>
      </w:pPr>
      <w:r>
        <w:t>操作与命令对应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5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对应命令或行为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刷新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核对本地状态，核心为 svn status；不取得远端文件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更新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update，取得远端变化，可能合并或冲突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commit，发送已选变更并生成仓库版本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查看差异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diff，按选定模式比较内容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时间线与文件历史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log，查询已提交记录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还原本地修改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revert，丢弃未提交变更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9"/>
              </w:rPr>
              <w:t>逐行注解</w:t>
            </w:r>
          </w:p>
        </w:tc>
        <w:tc>
          <w:tcPr>
            <w:tcW w:type="dxa" w:w="78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svn blame，使用命令行或支持该功能的客户端</w:t>
            </w:r>
          </w:p>
        </w:tc>
      </w:tr>
    </w:tbl>
    <w:p>
      <w:pPr>
        <w:spacing w:after="60" w:line="40" w:lineRule="exact"/>
      </w:pPr>
      <w:r>
        <w:rPr>
          <w:sz w:val="2"/>
        </w:rPr>
      </w:r>
    </w:p>
    <w:p>
      <w:r>
        <w:rPr>
          <w:b w:val="0"/>
        </w:rPr>
        <w:t>完成一次提交前  确认项目路径正确、状态已验证、差异已检查、勾选范围与说明一致。提交后记录版本并检查剩余修改。</w:t>
      </w:r>
    </w:p>
    <w:p>
      <w:r>
        <w:rPr>
          <w:b w:val="0"/>
        </w:rPr>
        <w:t>反馈问题时提供软件版本、操作系统、复现步骤、预期结果和完整错误文字。附图或对外反馈前，移除密码、令牌、敏感仓库地址与项目内容。</w:t>
      </w:r>
    </w:p>
    <w:p>
      <w:pPr>
        <w:pStyle w:val="Heading2"/>
      </w:pPr>
      <w:r>
        <w:t>相关资料</w:t>
      </w:r>
    </w:p>
    <w:p>
      <w:r>
        <w:rPr>
          <w:b w:val="0"/>
        </w:rPr>
        <w:t>项目发行页  https://github.com/firzen/StoneSVN/releases</w:t>
        <w:br/>
        <w:t>问题反馈页  https://github.com/firzen/StoneSVN/issues</w:t>
      </w:r>
    </w:p>
    <w:p>
      <w:r>
        <w:rPr>
          <w:b w:val="0"/>
        </w:rPr>
        <w:t>文档依据  QUICKSTART.md、docs/user-guide.md、docs/releases/v1.1.2.md；界面名称及追溯行为参照 1.1.2 源码核对。插图来自 docs/images，流程图为本指南绘制。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StoneSVN 使用指南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0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 Unicode MS" w:hAnsi="Arial Unicode MS" w:eastAsia="Arial Unicode MS" w:cs="Arial Unicode M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StoneSVN 快速使用指南</dc:title>
  <dc:subject>从检出到提交的图文操作指南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