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Conversion Fidelity Test — Document A</w:t>
      </w:r>
    </w:p>
    <w:p>
      <w:pPr>
        <w:spacing w:after="120"/>
      </w:pPr>
      <w:r>
        <w:rPr>
          <w:b/>
          <w:bCs/>
        </w:rPr>
        <w:t xml:space="preserve">Purpose: </w:t>
      </w:r>
      <w:r>
        <w:t xml:space="preserve">open this file in Office In 1, convert it (PDF, ODT, DOCX → DOCX, etc.), then compare the result with this original using the checklist on page 3. Every block below carries an ID (e.g. [P1-03]) so you can find it in the converted version.</w:t>
      </w:r>
    </w:p>
    <w:p>
      <w:pPr>
        <w:pBdr>
          <w:top w:val="double" w:color="C9A227" w:sz="6" w:space="4"/>
          <w:bottom w:val="double" w:color="C9A227" w:sz="6" w:space="4"/>
        </w:pBdr>
        <w:spacing w:after="120" w:before="120"/>
        <w:jc w:val="center"/>
      </w:pPr>
      <w:r>
        <w:rPr>
          <w:b/>
          <w:bCs/>
          <w:color w:val="C9A227"/>
          <w:sz w:val="20"/>
          <w:szCs w:val="20"/>
        </w:rPr>
        <w:t xml:space="preserve">PAGE 1 START — EXPECTED: 3 PAGES TOTAL</w:t>
      </w:r>
    </w:p>
    <w:p>
      <w:pPr>
        <w:pStyle w:val="Heading1"/>
      </w:pPr>
      <w:r>
        <w:t xml:space="preserve">1. Heading Level 1 [P1-01]</w:t>
      </w:r>
    </w:p>
    <w:p>
      <w:pPr>
        <w:pStyle w:val="Heading2"/>
      </w:pPr>
      <w:r>
        <w:t xml:space="preserve">1.1 Heading Level 2 [P1-02]</w:t>
      </w:r>
    </w:p>
    <w:p>
      <w:pPr>
        <w:pStyle w:val="Heading3"/>
      </w:pPr>
      <w:r>
        <w:t xml:space="preserve">1.1.1 Heading Level 3 [P1-03]</w:t>
      </w:r>
    </w:p>
    <w:p>
      <w:pPr>
        <w:spacing w:after="120"/>
      </w:pPr>
      <w:r>
        <w:t xml:space="preserve">[P1-04] Character formatting: </w:t>
      </w:r>
      <w:r>
        <w:rPr>
          <w:b/>
          <w:bCs/>
        </w:rPr>
        <w:t xml:space="preserve">bold</w:t>
      </w:r>
      <w:r>
        <w:t xml:space="preserve">, </w:t>
      </w:r>
      <w:r>
        <w:rPr>
          <w:i/>
          <w:iCs/>
        </w:rPr>
        <w:t xml:space="preserve">italic</w:t>
      </w:r>
      <w:r>
        <w:t xml:space="preserve">, </w:t>
      </w:r>
      <w:r>
        <w:rPr>
          <w:u w:val="single"/>
        </w:rPr>
        <w:t xml:space="preserve">underline</w:t>
      </w:r>
      <w:r>
        <w:t xml:space="preserve">, </w:t>
      </w:r>
      <w:r>
        <w:rPr>
          <w:u w:val="double"/>
        </w:rPr>
        <w:t xml:space="preserve">double underline</w:t>
      </w:r>
      <w:r>
        <w:t xml:space="preserve">, </w:t>
      </w:r>
      <w:r>
        <w:rPr>
          <w:strike/>
        </w:rPr>
        <w:t xml:space="preserve">strikethrough</w:t>
      </w:r>
      <w:r>
        <w:t xml:space="preserve">, </w:t>
      </w:r>
      <w:r>
        <w:rPr>
          <w:b/>
          <w:bCs/>
          <w:i/>
          <w:iCs/>
          <w:u w:val="single"/>
        </w:rPr>
        <w:t xml:space="preserve">bold+italic+underline</w:t>
      </w:r>
      <w:r>
        <w:t xml:space="preserve">, </w:t>
      </w:r>
      <w:r>
        <w:rPr>
          <w:smallCaps/>
        </w:rPr>
        <w:t xml:space="preserve">SMALL CAPS</w:t>
      </w:r>
      <w:r>
        <w:t xml:space="preserve">, H</w:t>
      </w:r>
      <w:r>
        <w:rPr>
          <w:vertAlign w:val="subscript"/>
        </w:rPr>
        <w:t xml:space="preserve">2</w:t>
      </w:r>
      <w:r>
        <w:t xml:space="preserve">O (subscript), E = mc</w:t>
      </w:r>
      <w:r>
        <w:rPr>
          <w:vertAlign w:val="superscript"/>
        </w:rPr>
        <w:t xml:space="preserve">2</w:t>
      </w:r>
      <w:r>
        <w:t xml:space="preserve"> (superscript).</w:t>
      </w:r>
    </w:p>
    <w:p>
      <w:pPr>
        <w:spacing w:after="120"/>
      </w:pPr>
      <w:r>
        <w:t xml:space="preserve">[P1-05] Colours: </w:t>
      </w:r>
      <w:r>
        <w:rPr>
          <w:color w:val="C00000"/>
        </w:rPr>
        <w:t xml:space="preserve">red </w:t>
      </w:r>
      <w:r>
        <w:rPr>
          <w:color w:val="0070C0"/>
        </w:rPr>
        <w:t xml:space="preserve">blue </w:t>
      </w:r>
      <w:r>
        <w:rPr>
          <w:color w:val="00B050"/>
        </w:rPr>
        <w:t xml:space="preserve">green </w:t>
      </w:r>
      <w:r>
        <w:rPr>
          <w:b/>
          <w:bCs/>
          <w:color w:val="C9A227"/>
        </w:rPr>
        <w:t xml:space="preserve">gold </w:t>
      </w:r>
      <w:r>
        <w:t xml:space="preserve"> — highlight: </w:t>
      </w:r>
      <w:r>
        <w:rPr>
          <w:highlight w:val="yellow"/>
        </w:rPr>
        <w:t xml:space="preserve">yellow</w:t>
      </w:r>
      <w:r>
        <w:t xml:space="preserve"> </w:t>
      </w:r>
      <w:r>
        <w:rPr>
          <w:highlight w:val="cyan"/>
        </w:rPr>
        <w:t xml:space="preserve">cyan</w:t>
      </w:r>
      <w:r>
        <w:t xml:space="preserve"> — shaded run: </w:t>
      </w:r>
      <w:r>
        <w:rPr>
          <w:color w:val="FFFFFF"/>
          <w:shd w:fill="000000" w:color="auto" w:val="clear"/>
        </w:rPr>
        <w:t xml:space="preserve"> white on black </w:t>
      </w:r>
    </w:p>
    <w:p>
      <w:pPr>
        <w:spacing w:after="120"/>
      </w:pPr>
      <w:r>
        <w:t xml:space="preserve">[P1-06] Fonts &amp; sizes: </w:t>
      </w:r>
      <w:r>
        <w:rPr>
          <w:rFonts w:ascii="Times New Roman" w:cs="Times New Roman" w:eastAsia="Times New Roman" w:hAnsi="Times New Roman"/>
          <w:sz w:val="24"/>
          <w:szCs w:val="24"/>
        </w:rPr>
        <w:t xml:space="preserve">Times New Roman 12 </w:t>
      </w:r>
      <w:r>
        <w:rPr>
          <w:rFonts w:ascii="Arial" w:cs="Arial" w:eastAsia="Arial" w:hAnsi="Arial"/>
          <w:sz w:val="20"/>
          <w:szCs w:val="20"/>
        </w:rPr>
        <w:t xml:space="preserve">Arial 10 </w:t>
      </w:r>
      <w:r>
        <w:rPr>
          <w:rFonts w:ascii="Courier New" w:cs="Courier New" w:eastAsia="Courier New" w:hAnsi="Courier New"/>
          <w:sz w:val="22"/>
          <w:szCs w:val="22"/>
        </w:rPr>
        <w:t xml:space="preserve">Courier New 11 </w:t>
      </w:r>
      <w:r>
        <w:rPr>
          <w:rFonts w:ascii="Georgia" w:cs="Georgia" w:eastAsia="Georgia" w:hAnsi="Georgia"/>
          <w:sz w:val="32"/>
          <w:szCs w:val="32"/>
        </w:rPr>
        <w:t xml:space="preserve">Georgia 16</w:t>
      </w:r>
      <w:r>
        <w:rPr>
          <w:sz w:val="16"/>
          <w:szCs w:val="16"/>
        </w:rPr>
        <w:t xml:space="preserve"> Calibri 8</w:t>
      </w:r>
    </w:p>
    <w:p>
      <w:pPr>
        <w:spacing w:after="120"/>
        <w:jc w:val="left"/>
      </w:pPr>
      <w:r>
        <w:t xml:space="preserve">[P1-07] Left aligned paragraph. The quick brown fox jumps over the lazy dog.</w:t>
      </w:r>
    </w:p>
    <w:p>
      <w:pPr>
        <w:spacing w:after="120"/>
        <w:jc w:val="center"/>
      </w:pPr>
      <w:r>
        <w:t xml:space="preserve">[P1-08] Centered paragraph. The quick brown fox jumps over the lazy dog.</w:t>
      </w:r>
    </w:p>
    <w:p>
      <w:pPr>
        <w:spacing w:after="120"/>
        <w:jc w:val="right"/>
      </w:pPr>
      <w:r>
        <w:t xml:space="preserve">[P1-09] Right aligned paragraph. The quick brown fox jumps over the lazy dog.</w:t>
      </w:r>
    </w:p>
    <w:p>
      <w:pPr>
        <w:spacing w:after="120"/>
        <w:jc w:val="both"/>
      </w:pPr>
      <w:r>
        <w:t xml:space="preserve">[P1-10] Justified paragraph. Lorem ipsum dolor sit amet, consectetur adipiscing elit, sed do eiusmod tempor incididunt ut labore et dolore magna aliqua. Ut enim ad minim veniam, quis nostrud exercitation ullamco laboris nisi ut aliquip ex ea commodo consequat. Both edges of this block should be straight.</w:t>
      </w:r>
    </w:p>
    <w:p>
      <w:pPr>
        <w:spacing w:after="120"/>
        <w:ind w:left="720" w:firstLine="720"/>
      </w:pPr>
      <w:r>
        <w:t xml:space="preserve">[P1-11] Indented paragraph: 0.5″ left indent and 0.5″ first-line indent. This tests that paragraph indentation survives the conversion untouched, line after line after line.</w:t>
      </w:r>
    </w:p>
    <w:p>
      <w:pPr>
        <w:spacing w:after="120"/>
        <w:ind w:left="720" w:hanging="720"/>
      </w:pPr>
      <w:r>
        <w:t xml:space="preserve">[P1-12] Hanging indent paragraph: the first line starts at the margin and every following line is pushed in by 0.5″. Keep writing so it wraps onto a second line and the hang becomes visible.</w:t>
      </w:r>
    </w:p>
    <w:p>
      <w:pPr>
        <w:spacing w:after="120"/>
      </w:pPr>
      <w:r>
        <w:t xml:space="preserve">[P1-13] Footnote test — this sentence has a footnote</w:t>
      </w:r>
      <w:r>
        <w:rPr>
          <w:rStyle w:val="FootnoteReference"/>
        </w:rPr>
        <w:footnoteReference w:id="1"/>
      </w:r>
      <w:r>
        <w:t xml:space="preserve"> and a hyperlink: </w:t>
      </w:r>
      <w:hyperlink w:history="1" r:id="rIdde33iruxwti7dlkyi3o-z">
        <w:r>
          <w:rPr>
            <w:rStyle w:val="Hyperlink"/>
          </w:rPr>
          <w:t xml:space="preserve">www.example.com</w:t>
        </w:r>
      </w:hyperlink>
      <w:r>
        <w:t xml:space="preserve">.</w:t>
      </w:r>
    </w:p>
    <w:p>
      <w:pPr>
        <w:pBdr>
          <w:top w:val="double" w:color="C9A227" w:sz="6" w:space="4"/>
          <w:bottom w:val="double" w:color="C9A227" w:sz="6" w:space="4"/>
        </w:pBdr>
        <w:spacing w:after="120" w:before="120"/>
        <w:jc w:val="center"/>
      </w:pPr>
      <w:r>
        <w:rPr>
          <w:b/>
          <w:bCs/>
          <w:color w:val="C9A227"/>
          <w:sz w:val="20"/>
          <w:szCs w:val="20"/>
        </w:rPr>
        <w:t xml:space="preserve">END OF PAGE 1 — NEXT LINE MUST BE ON PAGE 2</w:t>
      </w:r>
    </w:p>
    <w:p>
      <w:r>
        <w:br w:type="page"/>
      </w:r>
    </w:p>
    <w:p>
      <w:pPr>
        <w:pBdr>
          <w:top w:val="double" w:color="C9A227" w:sz="6" w:space="4"/>
          <w:bottom w:val="double" w:color="C9A227" w:sz="6" w:space="4"/>
        </w:pBdr>
        <w:spacing w:after="120" w:before="120"/>
        <w:jc w:val="center"/>
      </w:pPr>
      <w:r>
        <w:rPr>
          <w:b/>
          <w:bCs/>
          <w:color w:val="C9A227"/>
          <w:sz w:val="20"/>
          <w:szCs w:val="20"/>
        </w:rPr>
        <w:t xml:space="preserve">PAGE 2 START</w:t>
      </w:r>
    </w:p>
    <w:p>
      <w:pPr>
        <w:pStyle w:val="Heading1"/>
      </w:pPr>
      <w:r>
        <w:t xml:space="preserve">2. Lists [P2-01]</w:t>
      </w:r>
    </w:p>
    <w:p>
      <w:pPr>
        <w:spacing w:after="120"/>
      </w:pPr>
      <w:r>
        <w:t xml:space="preserve">[P2-02] Bullet list (3 levels):</w:t>
      </w:r>
    </w:p>
    <w:p>
      <w:pPr>
        <w:pStyle w:val="ListParagraph"/>
        <w:numPr>
          <w:ilvl w:val="0"/>
          <w:numId w:val="2"/>
        </w:numPr>
      </w:pPr>
      <w:r>
        <w:t xml:space="preserve">Level 1 — item A</w:t>
      </w:r>
    </w:p>
    <w:p>
      <w:pPr>
        <w:pStyle w:val="ListParagraph"/>
        <w:numPr>
          <w:ilvl w:val="1"/>
          <w:numId w:val="2"/>
        </w:numPr>
      </w:pPr>
      <w:r>
        <w:t xml:space="preserve">Level 2 — item A.1</w:t>
      </w:r>
    </w:p>
    <w:p>
      <w:pPr>
        <w:pStyle w:val="ListParagraph"/>
        <w:numPr>
          <w:ilvl w:val="2"/>
          <w:numId w:val="2"/>
        </w:numPr>
      </w:pPr>
      <w:r>
        <w:t xml:space="preserve">Level 3 — item A.1.a</w:t>
      </w:r>
    </w:p>
    <w:p>
      <w:pPr>
        <w:pStyle w:val="ListParagraph"/>
        <w:numPr>
          <w:ilvl w:val="1"/>
          <w:numId w:val="2"/>
        </w:numPr>
      </w:pPr>
      <w:r>
        <w:t xml:space="preserve">Level 2 — item A.2</w:t>
      </w:r>
    </w:p>
    <w:p>
      <w:pPr>
        <w:pStyle w:val="ListParagraph"/>
        <w:numPr>
          <w:ilvl w:val="0"/>
          <w:numId w:val="2"/>
        </w:numPr>
      </w:pPr>
      <w:r>
        <w:t xml:space="preserve">Level 1 — item B</w:t>
      </w:r>
    </w:p>
    <w:p>
      <w:pPr>
        <w:spacing w:after="120" w:before="120"/>
      </w:pPr>
      <w:r>
        <w:t xml:space="preserve">[P2-03] Numbered list (must read 1, 2, 3 with a.–b. sub-items):</w:t>
      </w:r>
    </w:p>
    <w:p>
      <w:pPr>
        <w:pStyle w:val="ListParagraph"/>
        <w:numPr>
          <w:ilvl w:val="0"/>
          <w:numId w:val="3"/>
        </w:numPr>
      </w:pPr>
      <w:r>
        <w:t xml:space="preserve">First step</w:t>
      </w:r>
    </w:p>
    <w:p>
      <w:pPr>
        <w:pStyle w:val="ListParagraph"/>
        <w:numPr>
          <w:ilvl w:val="1"/>
          <w:numId w:val="3"/>
        </w:numPr>
      </w:pPr>
      <w:r>
        <w:t xml:space="preserve">Sub-step a</w:t>
      </w:r>
    </w:p>
    <w:p>
      <w:pPr>
        <w:pStyle w:val="ListParagraph"/>
        <w:numPr>
          <w:ilvl w:val="1"/>
          <w:numId w:val="3"/>
        </w:numPr>
      </w:pPr>
      <w:r>
        <w:t xml:space="preserve">Sub-step b</w:t>
      </w:r>
    </w:p>
    <w:p>
      <w:pPr>
        <w:pStyle w:val="ListParagraph"/>
        <w:numPr>
          <w:ilvl w:val="0"/>
          <w:numId w:val="3"/>
        </w:numPr>
      </w:pPr>
      <w:r>
        <w:t xml:space="preserve">Second step</w:t>
      </w:r>
    </w:p>
    <w:p>
      <w:pPr>
        <w:pStyle w:val="ListParagraph"/>
        <w:numPr>
          <w:ilvl w:val="0"/>
          <w:numId w:val="3"/>
        </w:numPr>
      </w:pPr>
      <w:r>
        <w:t xml:space="preserve">Third step</w:t>
      </w:r>
    </w:p>
    <w:p>
      <w:pPr>
        <w:pStyle w:val="Heading1"/>
      </w:pPr>
      <w:r>
        <w:t xml:space="preserve">3. Special characters [P2-04]</w:t>
      </w:r>
    </w:p>
    <w:p>
      <w:pPr>
        <w:spacing w:after="120"/>
      </w:pPr>
      <w:r>
        <w:t xml:space="preserve">[P2-05] Français : à â ä é è ê ë î ï ô ö ù û ü ÿ ç œ æ — À É È Ç Œ — « guillemets » — l’apostrophe typographique.</w:t>
      </w:r>
    </w:p>
    <w:p>
      <w:pPr>
        <w:spacing w:after="120"/>
      </w:pPr>
      <w:r>
        <w:t xml:space="preserve">[P2-06] Symbols: © ® ™ € £ ¥ $ ¢ § ¶ † ‡ • … ‰ ° ± × ÷ ≠ ≤ ≥ ∞ √ ∑ π Ω µ ½ ¼ ¾ → ← ↑ ↓ ✓ ✗</w:t>
      </w:r>
    </w:p>
    <w:p>
      <w:pPr>
        <w:spacing w:after="120"/>
      </w:pPr>
      <w:r>
        <w:t xml:space="preserve">[P2-07] Greek &amp; other scripts: αβγδε ΣΦΨ — Русский — العربية — 日本語 — 한국어 — עברית</w:t>
      </w:r>
    </w:p>
    <w:p>
      <w:pPr>
        <w:spacing w:after="120"/>
      </w:pPr>
      <w:r>
        <w:t xml:space="preserve">[P2-08] Dashes &amp; spaces: hyphen - en dash – em dash — non-breaking space between 100 km and km.</w:t>
      </w:r>
    </w:p>
    <w:p>
      <w:pPr>
        <w:tabs>
          <w:tab w:val="left" w:pos="2880"/>
          <w:tab w:val="center" w:pos="5760"/>
          <w:tab w:val="right" w:pos="9360"/>
        </w:tabs>
        <w:spacing w:after="120"/>
      </w:pPr>
      <w:r>
        <w:t xml:space="preserve">[P2-09] Tab stops:</w:t>
      </w:r>
      <w:r>
        <w:t xml:space="preserve">	</w:t>
        <w:t xml:space="preserve">Left 2″</w:t>
        <w:t xml:space="preserve">	</w:t>
        <w:t xml:space="preserve">Center 4″</w:t>
        <w:t xml:space="preserve">	</w:t>
        <w:t xml:space="preserve">Right 6.5″</w:t>
      </w:r>
    </w:p>
    <w:p>
      <w:pPr>
        <w:pStyle w:val="Heading1"/>
      </w:pPr>
      <w:r>
        <w:t xml:space="preserve">4. Small table [P2-10]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08080" w:sz="4"/>
              <w:left w:val="single" w:color="808080" w:sz="4"/>
              <w:bottom w:val="single" w:color="808080" w:sz="4"/>
              <w:right w:val="single" w:color="808080" w:sz="4"/>
            </w:tcBorders>
            <w:shd w:fill="1F2A44" w:color="auto" w:val="clear"/>
            <w:tcMar>
              <w:top w:type="dxa" w:w="60"/>
              <w:left w:type="dxa" w:w="100"/>
              <w:bottom w:type="dxa" w:w="60"/>
              <w:right w:type="dxa" w:w="100"/>
            </w:tcMar>
          </w:tcPr>
          <w:p>
            <w:pPr>
              <w:jc w:val="center"/>
            </w:pPr>
            <w:r>
              <w:rPr>
                <w:b/>
                <w:bCs/>
                <w:color w:val="FFFFFF"/>
              </w:rPr>
              <w:t xml:space="preserve">ID</w:t>
            </w:r>
          </w:p>
        </w:tc>
        <w:tc>
          <w:tcPr>
            <w:tcW w:type="dxa" w:w="2340"/>
            <w:tcBorders>
              <w:top w:val="single" w:color="808080" w:sz="4"/>
              <w:left w:val="single" w:color="808080" w:sz="4"/>
              <w:bottom w:val="single" w:color="808080" w:sz="4"/>
              <w:right w:val="single" w:color="808080" w:sz="4"/>
            </w:tcBorders>
            <w:shd w:fill="1F2A44" w:color="auto" w:val="clear"/>
            <w:tcMar>
              <w:top w:type="dxa" w:w="60"/>
              <w:left w:type="dxa" w:w="100"/>
              <w:bottom w:type="dxa" w:w="60"/>
              <w:right w:type="dxa" w:w="100"/>
            </w:tcMar>
          </w:tcPr>
          <w:p>
            <w:pPr>
              <w:jc w:val="center"/>
            </w:pPr>
            <w:r>
              <w:rPr>
                <w:b/>
                <w:bCs/>
                <w:color w:val="FFFFFF"/>
              </w:rPr>
              <w:t xml:space="preserve">Item</w:t>
            </w:r>
          </w:p>
        </w:tc>
        <w:tc>
          <w:tcPr>
            <w:tcW w:type="dxa" w:w="2340"/>
            <w:tcBorders>
              <w:top w:val="single" w:color="808080" w:sz="4"/>
              <w:left w:val="single" w:color="808080" w:sz="4"/>
              <w:bottom w:val="single" w:color="808080" w:sz="4"/>
              <w:right w:val="single" w:color="808080" w:sz="4"/>
            </w:tcBorders>
            <w:shd w:fill="1F2A44" w:color="auto" w:val="clear"/>
            <w:tcMar>
              <w:top w:type="dxa" w:w="60"/>
              <w:left w:type="dxa" w:w="100"/>
              <w:bottom w:type="dxa" w:w="60"/>
              <w:right w:type="dxa" w:w="100"/>
            </w:tcMar>
          </w:tcPr>
          <w:p>
            <w:pPr>
              <w:jc w:val="center"/>
            </w:pPr>
            <w:r>
              <w:rPr>
                <w:b/>
                <w:bCs/>
                <w:color w:val="FFFFFF"/>
              </w:rPr>
              <w:t xml:space="preserve">Qty</w:t>
            </w:r>
          </w:p>
        </w:tc>
        <w:tc>
          <w:tcPr>
            <w:tcW w:type="dxa" w:w="2340"/>
            <w:tcBorders>
              <w:top w:val="single" w:color="808080" w:sz="4"/>
              <w:left w:val="single" w:color="808080" w:sz="4"/>
              <w:bottom w:val="single" w:color="808080" w:sz="4"/>
              <w:right w:val="single" w:color="808080" w:sz="4"/>
            </w:tcBorders>
            <w:shd w:fill="1F2A44" w:color="auto" w:val="clear"/>
            <w:tcMar>
              <w:top w:type="dxa" w:w="60"/>
              <w:left w:type="dxa" w:w="100"/>
              <w:bottom w:type="dxa" w:w="60"/>
              <w:right w:type="dxa" w:w="100"/>
            </w:tcMar>
          </w:tcPr>
          <w:p>
            <w:pPr>
              <w:jc w:val="center"/>
            </w:pPr>
            <w:r>
              <w:rPr>
                <w:b/>
                <w:bCs/>
                <w:color w:val="FFFFFF"/>
              </w:rPr>
              <w:t xml:space="preserve">Price</w:t>
            </w:r>
          </w:p>
        </w:tc>
      </w:tr>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rPr>
              <w:t xml:space="preserve">T-01</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rPr>
              <w:t xml:space="preserve">Pen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b w:val="false"/>
                <w:bCs w:val="false"/>
              </w:rPr>
              <w:t xml:space="preserve">3</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b w:val="false"/>
                <w:bCs w:val="false"/>
              </w:rPr>
              <w:t xml:space="preserve">1.50 $</w:t>
            </w:r>
          </w:p>
        </w:tc>
      </w:tr>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rPr>
              <w:t xml:space="preserve">T-02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rPr>
              <w:t xml:space="preserve">Notebook</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b w:val="false"/>
                <w:bCs w:val="false"/>
              </w:rPr>
              <w:t xml:space="preserve">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b w:val="false"/>
                <w:bCs w:val="false"/>
              </w:rPr>
              <w:t xml:space="preserve">4.25 $</w:t>
            </w:r>
          </w:p>
        </w:tc>
      </w:tr>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rPr>
              <w:t xml:space="preserve">T-03</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rPr>
              <w:t xml:space="preserve">Ruler</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b w:val="false"/>
                <w:bCs w:val="false"/>
              </w:rPr>
              <w:t xml:space="preserve">1</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b w:val="false"/>
                <w:bCs w:val="false"/>
              </w:rPr>
              <w:t xml:space="preserve">2.00 $</w:t>
            </w:r>
          </w:p>
        </w:tc>
      </w:tr>
      <w:tr>
        <w:tc>
          <w:tcPr>
            <w:tcW w:type="dxa" w:w="2340"/>
            <w:tcBorders>
              <w:top w:val="single" w:color="808080" w:sz="4"/>
              <w:left w:val="single" w:color="808080" w:sz="4"/>
              <w:bottom w:val="single" w:color="808080" w:sz="4"/>
              <w:right w:val="single" w:color="808080" w:sz="4"/>
            </w:tcBorders>
            <w:shd w:fill="F2E6B8" w:color="auto" w:val="clear"/>
            <w:tcMar>
              <w:top w:type="dxa" w:w="60"/>
              <w:left w:type="dxa" w:w="100"/>
              <w:bottom w:type="dxa" w:w="60"/>
              <w:right w:type="dxa" w:w="100"/>
            </w:tcMar>
          </w:tcPr>
          <w:p>
            <w:pPr>
              <w:jc w:val="left"/>
            </w:pPr>
            <w:r>
              <w:rPr>
                <w:b/>
                <w:bCs/>
              </w:rPr>
              <w:t xml:space="preserve">TOTAL</w:t>
            </w:r>
          </w:p>
        </w:tc>
        <w:tc>
          <w:tcPr>
            <w:tcW w:type="dxa" w:w="2340"/>
            <w:tcBorders>
              <w:top w:val="single" w:color="808080" w:sz="4"/>
              <w:left w:val="single" w:color="808080" w:sz="4"/>
              <w:bottom w:val="single" w:color="808080" w:sz="4"/>
              <w:right w:val="single" w:color="808080" w:sz="4"/>
            </w:tcBorders>
            <w:shd w:fill="F2E6B8" w:color="auto" w:val="clear"/>
            <w:tcMar>
              <w:top w:type="dxa" w:w="60"/>
              <w:left w:type="dxa" w:w="100"/>
              <w:bottom w:type="dxa" w:w="60"/>
              <w:right w:type="dxa" w:w="100"/>
            </w:tcMar>
          </w:tcPr>
          <w:p>
            <w:pPr>
              <w:jc w:val="left"/>
            </w:pPr>
            <w:r>
              <w:rPr>
                <w:b w:val="false"/>
                <w:bCs w:val="false"/>
              </w:rPr>
              <w:t xml:space="preserve"/>
            </w:r>
          </w:p>
        </w:tc>
        <w:tc>
          <w:tcPr>
            <w:tcW w:type="dxa" w:w="2340"/>
            <w:tcBorders>
              <w:top w:val="single" w:color="808080" w:sz="4"/>
              <w:left w:val="single" w:color="808080" w:sz="4"/>
              <w:bottom w:val="single" w:color="808080" w:sz="4"/>
              <w:right w:val="single" w:color="808080" w:sz="4"/>
            </w:tcBorders>
            <w:shd w:fill="F2E6B8" w:color="auto" w:val="clear"/>
            <w:tcMar>
              <w:top w:type="dxa" w:w="60"/>
              <w:left w:type="dxa" w:w="100"/>
              <w:bottom w:type="dxa" w:w="60"/>
              <w:right w:type="dxa" w:w="100"/>
            </w:tcMar>
          </w:tcPr>
          <w:p>
            <w:pPr>
              <w:jc w:val="right"/>
            </w:pPr>
            <w:r>
              <w:rPr>
                <w:b/>
                <w:bCs/>
              </w:rPr>
              <w:t xml:space="preserve">6</w:t>
            </w:r>
          </w:p>
        </w:tc>
        <w:tc>
          <w:tcPr>
            <w:tcW w:type="dxa" w:w="2340"/>
            <w:tcBorders>
              <w:top w:val="single" w:color="808080" w:sz="4"/>
              <w:left w:val="single" w:color="808080" w:sz="4"/>
              <w:bottom w:val="single" w:color="808080" w:sz="4"/>
              <w:right w:val="single" w:color="808080" w:sz="4"/>
            </w:tcBorders>
            <w:shd w:fill="F2E6B8" w:color="auto" w:val="clear"/>
            <w:tcMar>
              <w:top w:type="dxa" w:w="60"/>
              <w:left w:type="dxa" w:w="100"/>
              <w:bottom w:type="dxa" w:w="60"/>
              <w:right w:type="dxa" w:w="100"/>
            </w:tcMar>
          </w:tcPr>
          <w:p>
            <w:pPr>
              <w:jc w:val="right"/>
            </w:pPr>
            <w:r>
              <w:rPr>
                <w:b/>
                <w:bCs/>
              </w:rPr>
              <w:t xml:space="preserve">15.00 $</w:t>
            </w:r>
          </w:p>
        </w:tc>
      </w:tr>
    </w:tbl>
    <w:p>
      <w:pPr>
        <w:spacing w:after="120" w:before="240" w:line="480"/>
      </w:pPr>
      <w:r>
        <w:t xml:space="preserve">[P2-11] Line spacing 2.0 (double): this paragraph must be visibly more spaced than the others. Keep going so it wraps onto a second and third line to make the spacing obvious.</w:t>
      </w:r>
    </w:p>
    <w:p>
      <w:pPr>
        <w:pBdr>
          <w:top w:val="double" w:color="C9A227" w:sz="6" w:space="4"/>
          <w:bottom w:val="double" w:color="C9A227" w:sz="6" w:space="4"/>
        </w:pBdr>
        <w:spacing w:after="120" w:before="120"/>
        <w:jc w:val="center"/>
      </w:pPr>
      <w:r>
        <w:rPr>
          <w:b/>
          <w:bCs/>
          <w:color w:val="C9A227"/>
          <w:sz w:val="20"/>
          <w:szCs w:val="20"/>
        </w:rPr>
        <w:t xml:space="preserve">END OF PAGE 2 — NEXT LINE MUST BE ON PAGE 3</w:t>
      </w:r>
    </w:p>
    <w:p>
      <w:r>
        <w:br w:type="page"/>
      </w:r>
    </w:p>
    <w:p>
      <w:pPr>
        <w:pBdr>
          <w:top w:val="double" w:color="C9A227" w:sz="6" w:space="4"/>
          <w:bottom w:val="double" w:color="C9A227" w:sz="6" w:space="4"/>
        </w:pBdr>
        <w:spacing w:after="120" w:before="120"/>
        <w:jc w:val="center"/>
      </w:pPr>
      <w:r>
        <w:rPr>
          <w:b/>
          <w:bCs/>
          <w:color w:val="C9A227"/>
          <w:sz w:val="20"/>
          <w:szCs w:val="20"/>
        </w:rPr>
        <w:t xml:space="preserve">PAGE 3 START</w:t>
      </w:r>
    </w:p>
    <w:p>
      <w:pPr>
        <w:pStyle w:val="Heading1"/>
      </w:pPr>
      <w:r>
        <w:t xml:space="preserve">5. Verification checklist [P3-01]</w:t>
      </w:r>
    </w:p>
    <w:p>
      <w:pPr>
        <w:spacing w:after="120"/>
      </w:pPr>
      <w:r>
        <w:t xml:space="preserve">Tick each line after comparing the converted file with this original.</w:t>
      </w:r>
    </w:p>
    <w:p>
      <w:pPr>
        <w:spacing w:after="60"/>
      </w:pPr>
      <w:r>
        <w:rPr>
          <w:rFonts w:ascii="Segoe UI Symbol" w:cs="Segoe UI Symbol" w:eastAsia="Segoe UI Symbol" w:hAnsi="Segoe UI Symbol"/>
        </w:rPr>
        <w:t xml:space="preserve">☐  </w:t>
      </w:r>
      <w:r>
        <w:rPr>
          <w:b/>
          <w:bCs/>
        </w:rPr>
        <w:t xml:space="preserve">01. </w:t>
      </w:r>
      <w:r>
        <w:t xml:space="preserve">Total page count is exactly 3</w:t>
      </w:r>
    </w:p>
    <w:p>
      <w:pPr>
        <w:spacing w:after="60"/>
      </w:pPr>
      <w:r>
        <w:rPr>
          <w:rFonts w:ascii="Segoe UI Symbol" w:cs="Segoe UI Symbol" w:eastAsia="Segoe UI Symbol" w:hAnsi="Segoe UI Symbol"/>
        </w:rPr>
        <w:t xml:space="preserve">☐  </w:t>
      </w:r>
      <w:r>
        <w:rPr>
          <w:b/>
          <w:bCs/>
        </w:rPr>
        <w:t xml:space="preserve">02. </w:t>
      </w:r>
      <w:r>
        <w:t xml:space="preserve">Header text and footer "Page X of 3" appear on every page</w:t>
      </w:r>
    </w:p>
    <w:p>
      <w:pPr>
        <w:spacing w:after="60"/>
      </w:pPr>
      <w:r>
        <w:rPr>
          <w:rFonts w:ascii="Segoe UI Symbol" w:cs="Segoe UI Symbol" w:eastAsia="Segoe UI Symbol" w:hAnsi="Segoe UI Symbol"/>
        </w:rPr>
        <w:t xml:space="preserve">☐  </w:t>
      </w:r>
      <w:r>
        <w:rPr>
          <w:b/>
          <w:bCs/>
        </w:rPr>
        <w:t xml:space="preserve">03. </w:t>
      </w:r>
      <w:r>
        <w:t xml:space="preserve">Title, H1, H2, H3 keep their sizes and hierarchy</w:t>
      </w:r>
    </w:p>
    <w:p>
      <w:pPr>
        <w:spacing w:after="60"/>
      </w:pPr>
      <w:r>
        <w:rPr>
          <w:rFonts w:ascii="Segoe UI Symbol" w:cs="Segoe UI Symbol" w:eastAsia="Segoe UI Symbol" w:hAnsi="Segoe UI Symbol"/>
        </w:rPr>
        <w:t xml:space="preserve">☐  </w:t>
      </w:r>
      <w:r>
        <w:rPr>
          <w:b/>
          <w:bCs/>
        </w:rPr>
        <w:t xml:space="preserve">04. </w:t>
      </w:r>
      <w:r>
        <w:t xml:space="preserve">Bold, italic, underline, double underline, strike, small caps preserved [P1-04]</w:t>
      </w:r>
    </w:p>
    <w:p>
      <w:pPr>
        <w:spacing w:after="60"/>
      </w:pPr>
      <w:r>
        <w:rPr>
          <w:rFonts w:ascii="Segoe UI Symbol" w:cs="Segoe UI Symbol" w:eastAsia="Segoe UI Symbol" w:hAnsi="Segoe UI Symbol"/>
        </w:rPr>
        <w:t xml:space="preserve">☐  </w:t>
      </w:r>
      <w:r>
        <w:rPr>
          <w:b/>
          <w:bCs/>
        </w:rPr>
        <w:t xml:space="preserve">05. </w:t>
      </w:r>
      <w:r>
        <w:t xml:space="preserve">Subscript (H₂O) and superscript (mc²) stay raised/lowered [P1-04]</w:t>
      </w:r>
    </w:p>
    <w:p>
      <w:pPr>
        <w:spacing w:after="60"/>
      </w:pPr>
      <w:r>
        <w:rPr>
          <w:rFonts w:ascii="Segoe UI Symbol" w:cs="Segoe UI Symbol" w:eastAsia="Segoe UI Symbol" w:hAnsi="Segoe UI Symbol"/>
        </w:rPr>
        <w:t xml:space="preserve">☐  </w:t>
      </w:r>
      <w:r>
        <w:rPr>
          <w:b/>
          <w:bCs/>
        </w:rPr>
        <w:t xml:space="preserve">06. </w:t>
      </w:r>
      <w:r>
        <w:t xml:space="preserve">Colours, highlights and white-on-black shading preserved [P1-05]</w:t>
      </w:r>
    </w:p>
    <w:p>
      <w:pPr>
        <w:spacing w:after="60"/>
      </w:pPr>
      <w:r>
        <w:rPr>
          <w:rFonts w:ascii="Segoe UI Symbol" w:cs="Segoe UI Symbol" w:eastAsia="Segoe UI Symbol" w:hAnsi="Segoe UI Symbol"/>
        </w:rPr>
        <w:t xml:space="preserve">☐  </w:t>
      </w:r>
      <w:r>
        <w:rPr>
          <w:b/>
          <w:bCs/>
        </w:rPr>
        <w:t xml:space="preserve">07. </w:t>
      </w:r>
      <w:r>
        <w:t xml:space="preserve">Five fonts and sizes still distinct [P1-06]</w:t>
      </w:r>
    </w:p>
    <w:p>
      <w:pPr>
        <w:spacing w:after="60"/>
      </w:pPr>
      <w:r>
        <w:rPr>
          <w:rFonts w:ascii="Segoe UI Symbol" w:cs="Segoe UI Symbol" w:eastAsia="Segoe UI Symbol" w:hAnsi="Segoe UI Symbol"/>
        </w:rPr>
        <w:t xml:space="preserve">☐  </w:t>
      </w:r>
      <w:r>
        <w:rPr>
          <w:b/>
          <w:bCs/>
        </w:rPr>
        <w:t xml:space="preserve">08. </w:t>
      </w:r>
      <w:r>
        <w:t xml:space="preserve">Left / center / right / justified alignment correct [P1-07 → P1-10]</w:t>
      </w:r>
    </w:p>
    <w:p>
      <w:pPr>
        <w:spacing w:after="60"/>
      </w:pPr>
      <w:r>
        <w:rPr>
          <w:rFonts w:ascii="Segoe UI Symbol" w:cs="Segoe UI Symbol" w:eastAsia="Segoe UI Symbol" w:hAnsi="Segoe UI Symbol"/>
        </w:rPr>
        <w:t xml:space="preserve">☐  </w:t>
      </w:r>
      <w:r>
        <w:rPr>
          <w:b/>
          <w:bCs/>
        </w:rPr>
        <w:t xml:space="preserve">09. </w:t>
      </w:r>
      <w:r>
        <w:t xml:space="preserve">First-line and hanging indents intact [P1-11, P1-12]</w:t>
      </w:r>
    </w:p>
    <w:p>
      <w:pPr>
        <w:spacing w:after="60"/>
      </w:pPr>
      <w:r>
        <w:rPr>
          <w:rFonts w:ascii="Segoe UI Symbol" w:cs="Segoe UI Symbol" w:eastAsia="Segoe UI Symbol" w:hAnsi="Segoe UI Symbol"/>
        </w:rPr>
        <w:t xml:space="preserve">☐  </w:t>
      </w:r>
      <w:r>
        <w:rPr>
          <w:b/>
          <w:bCs/>
        </w:rPr>
        <w:t xml:space="preserve">10. </w:t>
      </w:r>
      <w:r>
        <w:t xml:space="preserve">Footnote 1 present at bottom of page 1; link still clickable [P1-13]</w:t>
      </w:r>
    </w:p>
    <w:p>
      <w:pPr>
        <w:spacing w:after="60"/>
      </w:pPr>
      <w:r>
        <w:rPr>
          <w:rFonts w:ascii="Segoe UI Symbol" w:cs="Segoe UI Symbol" w:eastAsia="Segoe UI Symbol" w:hAnsi="Segoe UI Symbol"/>
        </w:rPr>
        <w:t xml:space="preserve">☐  </w:t>
      </w:r>
      <w:r>
        <w:rPr>
          <w:b/>
          <w:bCs/>
        </w:rPr>
        <w:t xml:space="preserve">11. </w:t>
      </w:r>
      <w:r>
        <w:t xml:space="preserve">Bullet list keeps 3 levels; numbered list reads 1, a, b, 2, 3 [P2-02, P2-03]</w:t>
      </w:r>
    </w:p>
    <w:p>
      <w:pPr>
        <w:spacing w:after="60"/>
      </w:pPr>
      <w:r>
        <w:rPr>
          <w:rFonts w:ascii="Segoe UI Symbol" w:cs="Segoe UI Symbol" w:eastAsia="Segoe UI Symbol" w:hAnsi="Segoe UI Symbol"/>
        </w:rPr>
        <w:t xml:space="preserve">☐  </w:t>
      </w:r>
      <w:r>
        <w:rPr>
          <w:b/>
          <w:bCs/>
        </w:rPr>
        <w:t xml:space="preserve">12. </w:t>
      </w:r>
      <w:r>
        <w:t xml:space="preserve">No ? or □ boxes in accents, symbols, foreign scripts [P2-05 → P2-07]</w:t>
      </w:r>
    </w:p>
    <w:p>
      <w:pPr>
        <w:spacing w:after="60"/>
      </w:pPr>
      <w:r>
        <w:rPr>
          <w:rFonts w:ascii="Segoe UI Symbol" w:cs="Segoe UI Symbol" w:eastAsia="Segoe UI Symbol" w:hAnsi="Segoe UI Symbol"/>
        </w:rPr>
        <w:t xml:space="preserve">☐  </w:t>
      </w:r>
      <w:r>
        <w:rPr>
          <w:b/>
          <w:bCs/>
        </w:rPr>
        <w:t xml:space="preserve">13. </w:t>
      </w:r>
      <w:r>
        <w:t xml:space="preserve">Tab stops line up at 2″, 4″ and 6.5″ [P2-09]</w:t>
      </w:r>
    </w:p>
    <w:p>
      <w:pPr>
        <w:spacing w:after="60"/>
      </w:pPr>
      <w:r>
        <w:rPr>
          <w:rFonts w:ascii="Segoe UI Symbol" w:cs="Segoe UI Symbol" w:eastAsia="Segoe UI Symbol" w:hAnsi="Segoe UI Symbol"/>
        </w:rPr>
        <w:t xml:space="preserve">☐  </w:t>
      </w:r>
      <w:r>
        <w:rPr>
          <w:b/>
          <w:bCs/>
        </w:rPr>
        <w:t xml:space="preserve">14. </w:t>
      </w:r>
      <w:r>
        <w:t xml:space="preserve">Table: 4 columns, dark header, gold total row, numbers right-aligned [P2-10]</w:t>
      </w:r>
    </w:p>
    <w:p>
      <w:pPr>
        <w:spacing w:after="60"/>
      </w:pPr>
      <w:r>
        <w:rPr>
          <w:rFonts w:ascii="Segoe UI Symbol" w:cs="Segoe UI Symbol" w:eastAsia="Segoe UI Symbol" w:hAnsi="Segoe UI Symbol"/>
        </w:rPr>
        <w:t xml:space="preserve">☐  </w:t>
      </w:r>
      <w:r>
        <w:rPr>
          <w:b/>
          <w:bCs/>
        </w:rPr>
        <w:t xml:space="preserve">15. </w:t>
      </w:r>
      <w:r>
        <w:t xml:space="preserve">Double line spacing still visible [P2-11]</w:t>
      </w:r>
    </w:p>
    <w:p>
      <w:pPr>
        <w:spacing w:after="60"/>
      </w:pPr>
      <w:r>
        <w:rPr>
          <w:rFonts w:ascii="Segoe UI Symbol" w:cs="Segoe UI Symbol" w:eastAsia="Segoe UI Symbol" w:hAnsi="Segoe UI Symbol"/>
        </w:rPr>
        <w:t xml:space="preserve">☐  </w:t>
      </w:r>
      <w:r>
        <w:rPr>
          <w:b/>
          <w:bCs/>
        </w:rPr>
        <w:t xml:space="preserve">16. </w:t>
      </w:r>
      <w:r>
        <w:t xml:space="preserve">Every gold page marker sits on the page it names</w:t>
      </w:r>
    </w:p>
    <w:p>
      <w:pPr>
        <w:spacing w:after="60"/>
      </w:pPr>
      <w:r>
        <w:rPr>
          <w:rFonts w:ascii="Segoe UI Symbol" w:cs="Segoe UI Symbol" w:eastAsia="Segoe UI Symbol" w:hAnsi="Segoe UI Symbol"/>
        </w:rPr>
        <w:t xml:space="preserve">☐  </w:t>
      </w:r>
      <w:r>
        <w:rPr>
          <w:b/>
          <w:bCs/>
        </w:rPr>
        <w:t xml:space="preserve">17. </w:t>
      </w:r>
      <w:r>
        <w:t xml:space="preserve">Control sentence below matches word-for-word</w:t>
      </w:r>
    </w:p>
    <w:p>
      <w:pPr>
        <w:pStyle w:val="Heading1"/>
      </w:pPr>
      <w:r>
        <w:t xml:space="preserve">6. Control sentence [P3-02]</w:t>
      </w:r>
    </w:p>
    <w:p>
      <w:pPr>
        <w:pBdr>
          <w:top w:val="single" w:color="808080" w:sz="4"/>
          <w:left w:val="single" w:color="808080" w:sz="4"/>
          <w:bottom w:val="single" w:color="808080" w:sz="4"/>
          <w:right w:val="single" w:color="808080" w:sz="4"/>
        </w:pBdr>
        <w:spacing w:after="120" w:before="120"/>
        <w:jc w:val="center"/>
      </w:pPr>
      <w:r>
        <w:rPr>
          <w:b/>
          <w:bCs/>
          <w:color w:val="1F2A44"/>
        </w:rPr>
        <w:t xml:space="preserve">Le vif renard brun saute par-dessus le chien paresseux — 0123456789 — ÀÉÎÕÜ àéîõü — END-OF-DOCUMENT-CHECK-7Q4X.</w:t>
      </w:r>
    </w:p>
    <w:p>
      <w:pPr>
        <w:spacing w:after="120"/>
        <w:jc w:val="center"/>
      </w:pPr>
      <w:r>
        <w:t xml:space="preserve">Expected counts: 3 pages · 1 footnote · 1 hyperlink · 1 table (5 rows × 4 columns) · 10 list items · 17 checklist lines.</w:t>
      </w:r>
    </w:p>
    <w:p>
      <w:pPr>
        <w:pBdr>
          <w:top w:val="double" w:color="C9A227" w:sz="6" w:space="4"/>
          <w:bottom w:val="double" w:color="C9A227" w:sz="6" w:space="4"/>
        </w:pBdr>
        <w:spacing w:after="120" w:before="120"/>
        <w:jc w:val="center"/>
      </w:pPr>
      <w:r>
        <w:rPr>
          <w:b/>
          <w:bCs/>
          <w:color w:val="C9A227"/>
          <w:sz w:val="20"/>
          <w:szCs w:val="20"/>
        </w:rPr>
        <w:t xml:space="preserve">END OF DOCUMENT — PAGE 3 OF 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Footnote 1 — if you can read this at the bottom of page 1, footnotes survived the conversion.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2"/>
      </w:pBdr>
      <w:jc w:val="right"/>
    </w:pPr>
    <w:r>
      <w:rPr>
        <w:color w:val="808080"/>
        <w:sz w:val="18"/>
        <w:szCs w:val="18"/>
      </w:rPr>
      <w:t xml:space="preserve">Office In 1 — Conversion Test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2A44"/>
      <w:sz w:val="40"/>
      <w:szCs w:val="40"/>
    </w:rPr>
  </w:style>
  <w:style w:type="paragraph" w:styleId="Heading1">
    <w:name w:val="Heading 1"/>
    <w:basedOn w:val="Normal"/>
    <w:next w:val="Normal"/>
    <w:qFormat/>
    <w:pPr>
      <w:spacing w:after="100" w:before="200"/>
      <w:outlineLvl w:val="0"/>
    </w:pPr>
    <w:rPr>
      <w:b/>
      <w:bCs/>
      <w:color w:val="1F2A44"/>
      <w:sz w:val="30"/>
      <w:szCs w:val="30"/>
    </w:rPr>
  </w:style>
  <w:style w:type="paragraph" w:styleId="Heading2">
    <w:name w:val="Heading 2"/>
    <w:basedOn w:val="Normal"/>
    <w:next w:val="Normal"/>
    <w:qFormat/>
    <w:pPr>
      <w:spacing w:after="80" w:before="160"/>
      <w:outlineLvl w:val="1"/>
    </w:pPr>
    <w:rPr>
      <w:b/>
      <w:bCs/>
      <w:color w:val="2E4A7A"/>
      <w:sz w:val="26"/>
      <w:szCs w:val="26"/>
    </w:rPr>
  </w:style>
  <w:style w:type="paragraph" w:styleId="Heading3">
    <w:name w:val="Heading 3"/>
    <w:basedOn w:val="Normal"/>
    <w:next w:val="Normal"/>
    <w:qFormat/>
    <w:pPr>
      <w:spacing w:after="80" w:before="120"/>
      <w:outlineLvl w:val="2"/>
    </w:pPr>
    <w:rPr>
      <w:b/>
      <w:bCs/>
      <w:i/>
      <w:iCs/>
      <w:color w:val="4A6FA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de33iruxwti7dlkyi3o-z" Type="http://schemas.openxmlformats.org/officeDocument/2006/relationships/hyperlink" Target="https://www.exampl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2026-10-31T16:56:44.273Z</dcterms:created>
  <dcterms:modified xsi:type="dcterms:W3CDTF">2026-10-31T16:56:44.274Z</dcterms:modified>
</cp:coreProperties>
</file>

<file path=docProps/custom.xml><?xml version="1.0" encoding="utf-8"?>
<Properties xmlns="http://schemas.openxmlformats.org/officeDocument/2006/custom-properties" xmlns:vt="http://schemas.openxmlformats.org/officeDocument/2006/docPropsVTypes"/>
</file>