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EVOLUTION GROUP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3333"/>
          <w:sz w:val="34"/>
          <w:szCs w:val="34"/>
        </w:rPr>
        <w:t xml:space="preserve">Предложения по сайту test.evogroup.ai</w:t>
      </w:r>
    </w:p>
    <w:p>
      <w:pPr>
        <w:pBdr>
          <w:bottom w:val="single" w:color="1A3C5E" w:sz="6" w:space="1"/>
        </w:pBdr>
        <w:spacing w:after="360" w:before="2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Дата подготовки: апрель 2026 г.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5E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Hero-заголовок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Местоположение: </w:t>
      </w:r>
      <w:r>
        <w:rPr>
          <w:rFonts w:ascii="Arial" w:cs="Arial" w:eastAsia="Arial" w:hAnsi="Arial"/>
          <w:sz w:val="22"/>
          <w:szCs w:val="22"/>
        </w:rPr>
        <w:t xml:space="preserve">Главная страница, секция выше сгиба (above the fold)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проблемы: </w:t>
      </w:r>
      <w:r>
        <w:rPr>
          <w:rFonts w:ascii="Arial" w:cs="Arial" w:eastAsia="Arial" w:hAnsi="Arial"/>
          <w:sz w:val="22"/>
          <w:szCs w:val="22"/>
        </w:rPr>
        <w:t xml:space="preserve">Текущий заголовок «Внедряем AI и автоматизируем бизнесы для |» содержит два глагола («внедряем» и «автоматизируем»), которые дублируют смысл друг друга — AI-внедрение само по себе подразумевает автоматизацию. Слово «бизнесы» во множественном числе воспринимается как разговорное и снижает профессиональный тон коммуникации.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Hero-секция — это первое, что видит пользователь. По данным исследований UX, у сайта есть не более 3–5 секунд, чтобы донести ценностное предложение. Громоздкий заголовок замедляет восприятие и снижает конверсию.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Предлагаемый вариант: </w:t>
      </w:r>
      <w:r>
        <w:rPr>
          <w:rFonts w:ascii="Arial" w:cs="Arial" w:eastAsia="Arial" w:hAnsi="Arial"/>
          <w:sz w:val="22"/>
          <w:szCs w:val="22"/>
        </w:rPr>
        <w:t xml:space="preserve">«Внедряем AI в бизнес для [анимация]»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3C5E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Наименования секторов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Местоположение: </w:t>
      </w:r>
      <w:r>
        <w:rPr>
          <w:rFonts w:ascii="Arial" w:cs="Arial" w:eastAsia="Arial" w:hAnsi="Arial"/>
          <w:sz w:val="22"/>
          <w:szCs w:val="22"/>
        </w:rPr>
        <w:t xml:space="preserve">Главная страница, блок секторов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проблемы: </w:t>
      </w:r>
      <w:r>
        <w:rPr>
          <w:rFonts w:ascii="Arial" w:cs="Arial" w:eastAsia="Arial" w:hAnsi="Arial"/>
          <w:sz w:val="22"/>
          <w:szCs w:val="22"/>
        </w:rPr>
        <w:t xml:space="preserve">Текущие наименования секторов не отражают технологическую направленность компании и не соответствуют общепринятой стилистике IT-рынка.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Для корпоративной аудитории — банков, нефтегазовых компаний, медучреждений — формулировки секторов являются первым сигналом о позиционировании компании. Нейтральные бытовые названия снижают воспринимаемую экспертизу.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>Привести наименования секторов к единой стилистике в соответствии с таблицей ниже.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4726"/>
      </w:tblGrid>
      <w:tr>
        <w:trPr>
          <w:tblHeader/>
        </w:trPr>
        <w:tc>
          <w:tcPr>
            <w:tcW w:type="dxa" w:w="23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Сектор (текущее)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Предложение</w:t>
            </w:r>
          </w:p>
        </w:tc>
        <w:tc>
          <w:tcPr>
            <w:tcW w:type="dxa" w:w="47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Здоровье/Клиника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OS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Компания автоматизирует бизнес-процессы клиники, но не внедряет технологии в лечение или диагностику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Банковский сектор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Tech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Международный стандарт, мгновально считывается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Нефть и газ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OS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подчёркивает комплексную платформу. Предлагается с учётом дальнейшего расширения на другие сегменты энергетики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HoReCa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менять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Устойчивое отраслевое название, понятное целевой аудитории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МСБ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Аббревиатура МСБ используется в заголовке, расшифровка — в описании. Предлагается более универсальное наименование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3C5E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Смещение текста при переключении тарифного плана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Местоположение: </w:t>
      </w:r>
      <w:r>
        <w:rPr>
          <w:rFonts w:ascii="Arial" w:cs="Arial" w:eastAsia="Arial" w:hAnsi="Arial"/>
          <w:sz w:val="22"/>
          <w:szCs w:val="22"/>
        </w:rPr>
        <w:t xml:space="preserve">test.evogroup.ai/solutions → раздел тарифных планов, переключатель «Ежемесячно / Ежегодно»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проблемы: </w:t>
      </w:r>
      <w:r>
        <w:rPr>
          <w:rFonts w:ascii="Arial" w:cs="Arial" w:eastAsia="Arial" w:hAnsi="Arial"/>
          <w:sz w:val="22"/>
          <w:szCs w:val="22"/>
        </w:rPr>
        <w:t xml:space="preserve">При переключении на ежегодный тариф появляется badge с текстом «Экономия 20%». В момент появления этого элемента соседние текстовые блоки смещаются — вёрстка «прыгает». Обратное переключение возвращает блоки на место.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Нестабильность интерфейса при переключении негативно влияет на визуальное восприятие сайта и создаёт ощущение незавершённости продукта. Подобные артефакты снижают общее впечатление от качества и проработанности интерфейса.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>Зарезервировать фиксированное место для badge заранее — скрытый элемент с той же шириной и высотой должен присутствовать в вёрстке всегда, но становиться видимым только при выборе ежегодного тарифа.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3C5E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Локализация на кыргызский язык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Местоположение: </w:t>
      </w:r>
      <w:r>
        <w:rPr>
          <w:rFonts w:ascii="Arial" w:cs="Arial" w:eastAsia="Arial" w:hAnsi="Arial"/>
          <w:sz w:val="22"/>
          <w:szCs w:val="22"/>
        </w:rPr>
        <w:t xml:space="preserve">Переключатель языков RU / EN / KY, все страницы сайта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проблемы: </w:t>
      </w:r>
      <w:r>
        <w:rPr>
          <w:rFonts w:ascii="Arial" w:cs="Arial" w:eastAsia="Arial" w:hAnsi="Arial"/>
          <w:sz w:val="22"/>
          <w:szCs w:val="22"/>
        </w:rPr>
        <w:t xml:space="preserve">Кыргызская версия сайта представляет собой прямой машинный перевод русскоязычной версии. Текст воспринимается как неестественный — сохраняются русские синтаксические конструкции, отсутствует адаптация терминологии, местами нарушена логика построения фраз.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Влияние: </w:t>
      </w:r>
      <w:r>
        <w:rPr>
          <w:rFonts w:ascii="Arial" w:cs="Arial" w:eastAsia="Arial" w:hAnsi="Arial"/>
          <w:sz w:val="22"/>
          <w:szCs w:val="22"/>
        </w:rPr>
        <w:t xml:space="preserve">Компания работает на рынке Кыргызстана, где качественная локализация на государственный язык является важным фактором доверия со стороны местной аудитории. Некачественный перевод формирует негативное впечатление о продукте в целом.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Рекомендация: </w:t>
      </w:r>
      <w:r>
        <w:rPr>
          <w:rFonts w:ascii="Arial" w:cs="Arial" w:eastAsia="Arial" w:hAnsi="Arial"/>
          <w:sz w:val="22"/>
          <w:szCs w:val="22"/>
        </w:rPr>
        <w:t xml:space="preserve">Провести профессиональную лингвистическую адаптацию с учётом: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естественности звучания для кыргызскоязычной аудитории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корректной адаптации терминологии вместо дословного перевода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приведения в соответствие с нормами официально-делового кыргызского языка</w:t>
      </w:r>
    </w:p>
    <w:p>
      <w:pPr>
        <w:spacing w:after="40" w:before="40"/>
      </w:pPr>
      <w:r>
        <w:t xml:space="preserve"/>
      </w:r>
    </w:p>
    <w:p>
      <w:pPr>
        <w:pBdr>
          <w:top w:val="single" w:color="1A3C5E" w:sz="4" w:space="1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test.evogroup.ai · апрель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2026-04-02T06:21:09.238Z</dcterms:created>
  <dcterms:modified xsi:type="dcterms:W3CDTF">2026-04-02T06:21:09.239Z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