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8" w:line="240" w:lineRule="auto"/>
        <w:jc w:val="center"/>
        <w:keepNext/>
      </w:pPr>
      <w:r>
        <w:rPr>
          <w:rFonts w:ascii="Calibri" w:hAnsi="Calibri"/>
          <w:b/>
          <w:sz w:val="30"/>
        </w:rPr>
        <w:t>Second Pass: Results Readout</w:t>
      </w:r>
    </w:p>
    <w:p>
      <w:pPr>
        <w:spacing w:before="96" w:after="0" w:line="240" w:lineRule="auto"/>
      </w:pPr>
      <w:r>
        <w:rPr>
          <w:rFonts w:ascii="Calibri" w:hAnsi="Calibri"/>
          <w:b w:val="0"/>
          <w:sz w:val="21"/>
        </w:rPr>
        <w:t xml:space="preserve">One page a facilitator fills after a session, and one page for each case set the session played. Run findings.py against the downloaded responses, add --roster when you kept a consented roster, and copy its output in. The name in each cell is the field the script writes for it. The run. fields come from the Run block and every other field comes from the block headed by this page's case set, so a page is never filled from two case sets. A field the script prints as *not available*, or one listed under </w:t>
      </w:r>
      <w:r>
        <w:rPr>
          <w:rFonts w:ascii="Calibri" w:hAnsi="Calibri"/>
          <w:b/>
          <w:sz w:val="21"/>
        </w:rPr>
        <w:t>Columns not found</w:t>
      </w:r>
      <w:r>
        <w:rPr>
          <w:rFonts w:ascii="Calibri" w:hAnsi="Calibri"/>
          <w:b w:val="0"/>
          <w:sz w:val="21"/>
        </w:rPr>
        <w:t>, leaves its cell blank rather than estimated.</w:t>
      </w:r>
    </w:p>
    <w:p>
      <w:pPr>
        <w:spacing w:before="96" w:after="0" w:line="240" w:lineRule="auto"/>
      </w:pPr>
      <w:r>
        <w:rPr>
          <w:rFonts w:ascii="Calibri" w:hAnsi="Calibri"/>
          <w:b w:val="0"/>
          <w:sz w:val="21"/>
        </w:rPr>
        <w:t>Session run.generated, file run.source_file, product run.product_version, evidence status run.evidence_status. Practice case set.case_round1, fresh case set.case_round2, key dated set.key_date.</w:t>
      </w:r>
    </w:p>
    <w:p>
      <w:pPr>
        <w:spacing w:before="160" w:after="64" w:line="240" w:lineRule="auto"/>
        <w:pBdr>
          <w:bottom w:val="single" w:sz="6" w:space="1" w:color="000000"/>
        </w:pBdr>
        <w:keepNext/>
      </w:pPr>
      <w:r>
        <w:rPr>
          <w:rFonts w:ascii="Calibri" w:hAnsi="Calibri"/>
          <w:b/>
          <w:sz w:val="21"/>
          <w:spacing w:val="20"/>
        </w:rPr>
        <w:t>Counts, each defined once</w:t>
      </w:r>
    </w:p>
    <w:p>
      <w:pPr>
        <w:spacing w:before="80" w:after="0" w:line="240" w:lineRule="auto"/>
        <w:rPr>
          <w:sz w:val="2"/>
          <w:szCs w:val="2"/>
        </w:rPr>
      </w:pPr>
    </w:p>
    <w:tbl>
      <w:tblPr>
        <w:tblW w:type="auto" w:w="0"/>
        <w:jc w:val="left"/>
        <w:tblLayout w:type="fixed"/>
        <w:tblLook w:firstColumn="1" w:firstRow="1" w:lastColumn="0" w:lastRow="0" w:noHBand="0" w:noVBand="1" w:val="04A0"/>
      </w:tblPr>
      <w:tblGrid>
        <w:gridCol w:w="3504"/>
        <w:gridCol w:w="3504"/>
        <w:gridCol w:w="3504"/>
      </w:tblGrid>
      <w:tr>
        <w:trPr>
          <w:tblHeader/>
        </w:trPr>
        <w:tc>
          <w:tcPr>
            <w:tcW w:type="dxa" w:w="331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Count</w:t>
            </w:r>
          </w:p>
        </w:tc>
        <w:tc>
          <w:tcPr>
            <w:tcW w:type="dxa" w:w="216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Field</w:t>
            </w:r>
          </w:p>
        </w:tc>
        <w:tc>
          <w:tcPr>
            <w:tcW w:type="dxa" w:w="504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What it counts</w:t>
            </w:r>
          </w:p>
        </w:tc>
      </w:tr>
      <w:tr>
        <w:tc>
          <w:tcPr>
            <w:tcW w:type="dxa" w:w="331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Rows in the export</w:t>
            </w:r>
          </w:p>
        </w:tc>
        <w:tc>
          <w:tcPr>
            <w:tcW w:type="dxa" w:w="216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run.rows_in_export</w:t>
            </w:r>
          </w:p>
        </w:tc>
        <w:tc>
          <w:tcPr>
            <w:tcW w:type="dxa" w:w="504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Every data row in the downloaded file.</w:t>
            </w:r>
          </w:p>
        </w:tc>
      </w:tr>
      <w:tr>
        <w:tc>
          <w:tcPr>
            <w:tcW w:type="dxa" w:w="331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Rows excluded</w:t>
            </w:r>
          </w:p>
        </w:tc>
        <w:tc>
          <w:tcPr>
            <w:tcW w:type="dxa" w:w="216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run.rows_excluded</w:t>
            </w:r>
          </w:p>
        </w:tc>
        <w:tc>
          <w:tcPr>
            <w:tcW w:type="dxa" w:w="504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Test codenames, rows the page marked as a test attempt, blank codenames and synthetic rows, each reason with its own run.rows_excluded. field.</w:t>
            </w:r>
          </w:p>
        </w:tc>
      </w:tr>
      <w:tr>
        <w:tc>
          <w:tcPr>
            <w:tcW w:type="dxa" w:w="331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Duplicate sends</w:t>
            </w:r>
          </w:p>
        </w:tc>
        <w:tc>
          <w:tcPr>
            <w:tcW w:type="dxa" w:w="216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run.duplicate_sends_set_aside</w:t>
            </w:r>
          </w:p>
        </w:tc>
        <w:tc>
          <w:tcPr>
            <w:tcW w:type="dxa" w:w="504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Rows that repeat an attempt identifier already read, so one attempt sent twice counts once.</w:t>
            </w:r>
          </w:p>
        </w:tc>
      </w:tr>
      <w:tr>
        <w:tc>
          <w:tcPr>
            <w:tcW w:type="dxa" w:w="331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Received attempts</w:t>
            </w:r>
          </w:p>
        </w:tc>
        <w:tc>
          <w:tcPr>
            <w:tcW w:type="dxa" w:w="216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run.attempts_received</w:t>
            </w:r>
          </w:p>
        </w:tc>
        <w:tc>
          <w:tcPr>
            <w:tcW w:type="dxa" w:w="504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The rows left after exclusions and duplicate sends, each one run of the drill.</w:t>
            </w:r>
          </w:p>
        </w:tc>
      </w:tr>
      <w:tr>
        <w:tc>
          <w:tcPr>
            <w:tcW w:type="dxa" w:w="331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Completed attempts</w:t>
            </w:r>
          </w:p>
        </w:tc>
        <w:tc>
          <w:tcPr>
            <w:tcW w:type="dxa" w:w="216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run.attempts_completed</w:t>
            </w:r>
          </w:p>
        </w:tc>
        <w:tc>
          <w:tcPr>
            <w:tcW w:type="dxa" w:w="504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Received attempts with a call on every practice line and, where a fresh case is named, on every fresh line.</w:t>
            </w:r>
          </w:p>
        </w:tc>
      </w:tr>
      <w:tr>
        <w:tc>
          <w:tcPr>
            <w:tcW w:type="dxa" w:w="331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Distinct codenames</w:t>
            </w:r>
          </w:p>
        </w:tc>
        <w:tc>
          <w:tcPr>
            <w:tcW w:type="dxa" w:w="216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run.codenames_distinct</w:t>
            </w:r>
          </w:p>
        </w:tc>
        <w:tc>
          <w:tcPr>
            <w:tcW w:type="dxa" w:w="504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Different codenames among received attempts. A codename is a pseudonym, so this count is never reported as a number of people.</w:t>
            </w:r>
          </w:p>
        </w:tc>
      </w:tr>
      <w:tr>
        <w:tc>
          <w:tcPr>
            <w:tcW w:type="dxa" w:w="331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Facilitator-confirmed participants</w:t>
            </w:r>
          </w:p>
        </w:tc>
        <w:tc>
          <w:tcPr>
            <w:tcW w:type="dxa" w:w="216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run.participants_confirmed, this case set set.participants_confirmed</w:t>
            </w:r>
          </w:p>
        </w:tc>
        <w:tc>
          <w:tcPr>
            <w:tcW w:type="dxa" w:w="504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Distinct participants on the consented roster with at least one received attempt. It stays blank when no roster was kept, and it is the only count on this page that may be called people.</w:t>
            </w:r>
          </w:p>
        </w:tc>
      </w:tr>
      <w:tr>
        <w:tc>
          <w:tcPr>
            <w:tcW w:type="dxa" w:w="331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First attempts</w:t>
            </w:r>
          </w:p>
        </w:tc>
        <w:tc>
          <w:tcPr>
            <w:tcW w:type="dxa" w:w="216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run.first_attempts, this case set set.first_attempts</w:t>
            </w:r>
          </w:p>
        </w:tc>
        <w:tc>
          <w:tcPr>
            <w:tcW w:type="dxa" w:w="504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The first eligible attempt by each codename, which is the only attempt any rate on this page reads.</w:t>
            </w:r>
          </w:p>
        </w:tc>
      </w:tr>
      <w:tr>
        <w:tc>
          <w:tcPr>
            <w:tcW w:type="dxa" w:w="331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Reattempts</w:t>
            </w:r>
          </w:p>
        </w:tc>
        <w:tc>
          <w:tcPr>
            <w:tcW w:type="dxa" w:w="216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run.reattempts, this case set set.reattempts</w:t>
            </w:r>
          </w:p>
        </w:tc>
        <w:tc>
          <w:tcPr>
            <w:tcW w:type="dxa" w:w="504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Later eligible attempts by a codename already counted. The findings list them in their own table and no rate here includes them.</w:t>
            </w:r>
          </w:p>
        </w:tc>
      </w:tr>
      <w:tr>
        <w:tc>
          <w:tcPr>
            <w:tcW w:type="dxa" w:w="331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Refused attempts</w:t>
            </w:r>
          </w:p>
        </w:tc>
        <w:tc>
          <w:tcPr>
            <w:tcW w:type="dxa" w:w="216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run.attempts_refused</w:t>
            </w:r>
          </w:p>
        </w:tc>
        <w:tc>
          <w:tcPr>
            <w:tcW w:type="dxa" w:w="504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Received attempts on a case version with no case file, or on an authored case, which are scored against nothing.</w:t>
            </w:r>
          </w:p>
        </w:tc>
      </w:tr>
    </w:tbl>
    <w:p>
      <w:pPr>
        <w:spacing w:before="96" w:after="0" w:line="240" w:lineRule="auto"/>
        <w:rPr>
          <w:sz w:val="2"/>
          <w:szCs w:val="2"/>
        </w:rPr>
      </w:pPr>
    </w:p>
    <w:p>
      <w:pPr>
        <w:spacing w:before="96" w:after="0" w:line="240" w:lineRule="auto"/>
      </w:pPr>
      <w:r>
        <w:rPr>
          <w:rFonts w:ascii="Calibri" w:hAnsi="Calibri"/>
          <w:b w:val="0"/>
          <w:sz w:val="21"/>
        </w:rPr>
        <w:t>Every rate is scored against the case file for the version the record names. A record on a version the script cannot read is refused rather than scored against another case's key.</w:t>
      </w:r>
    </w:p>
    <w:p>
      <w:pPr>
        <w:spacing w:before="160" w:after="64" w:line="240" w:lineRule="auto"/>
        <w:pBdr>
          <w:bottom w:val="single" w:sz="6" w:space="1" w:color="000000"/>
        </w:pBdr>
        <w:keepNext/>
      </w:pPr>
      <w:r>
        <w:rPr>
          <w:rFonts w:ascii="Calibri" w:hAnsi="Calibri"/>
          <w:b/>
          <w:sz w:val="21"/>
          <w:spacing w:val="20"/>
        </w:rPr>
        <w:t>1. First attempts by organization, fields carrying the prefix `org.`</w:t>
      </w:r>
    </w:p>
    <w:p>
      <w:pPr>
        <w:spacing w:before="0" w:after="0" w:line="240" w:lineRule="auto"/>
      </w:pPr>
      <w:r>
        <w:rPr>
          <w:rFonts w:ascii="Calibri" w:hAnsi="Calibri"/>
          <w:b w:val="0"/>
          <w:sz w:val="21"/>
        </w:rPr>
        <w:t>A chip is what the player tapped about themselves, so one attempt can count under two chapters and a chip never confirms a role.</w:t>
      </w:r>
    </w:p>
    <w:p>
      <w:pPr>
        <w:spacing w:before="80" w:after="0" w:line="240" w:lineRule="auto"/>
        <w:rPr>
          <w:sz w:val="2"/>
          <w:szCs w:val="2"/>
        </w:rPr>
      </w:pPr>
    </w:p>
    <w:tbl>
      <w:tblPr>
        <w:tblW w:type="auto" w:w="0"/>
        <w:jc w:val="left"/>
        <w:tblLayout w:type="fixed"/>
        <w:tblLook w:firstColumn="1" w:firstRow="1" w:lastColumn="0" w:lastRow="0" w:noHBand="0" w:noVBand="1" w:val="04A0"/>
      </w:tblPr>
      <w:tblGrid>
        <w:gridCol w:w="2628"/>
        <w:gridCol w:w="2628"/>
        <w:gridCol w:w="2628"/>
        <w:gridCol w:w="2628"/>
      </w:tblGrid>
      <w:tr>
        <w:trPr>
          <w:tblHeader/>
        </w:trPr>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Chapter name</w:t>
            </w: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First attempts first_attempts</w:t>
            </w: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Call agreement call_agreement_mean</w:t>
            </w: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Reason chip agreement reason_agreement_mean</w:t>
            </w:r>
          </w:p>
        </w:tc>
      </w:tr>
      <w:tr>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Beta Alpha Psi</w:t>
            </w: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ACFE</w:t>
            </w: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ASM</w:t>
            </w: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NABA</w:t>
            </w: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AAA</w:t>
            </w: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GMU Student</w:t>
            </w: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Professor</w:t>
            </w: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Outside Mason</w:t>
            </w: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bl>
    <w:p>
      <w:pPr>
        <w:spacing w:before="96" w:after="0" w:line="240" w:lineRule="auto"/>
        <w:rPr>
          <w:sz w:val="2"/>
          <w:szCs w:val="2"/>
        </w:rPr>
      </w:pPr>
    </w:p>
    <w:p>
      <w:pPr>
        <w:spacing w:before="160" w:after="64" w:line="240" w:lineRule="auto"/>
        <w:pBdr>
          <w:bottom w:val="single" w:sz="6" w:space="1" w:color="000000"/>
        </w:pBdr>
        <w:keepNext/>
      </w:pPr>
      <w:r>
        <w:rPr>
          <w:rFonts w:ascii="Calibri" w:hAnsi="Calibri"/>
          <w:b/>
          <w:sz w:val="21"/>
          <w:spacing w:val="20"/>
        </w:rPr>
        <w:t>2. Call agreement and reason chip agreement by error type, fields carrying the prefix `type.`</w:t>
      </w:r>
    </w:p>
    <w:p>
      <w:pPr>
        <w:spacing w:before="0" w:after="0" w:line="240" w:lineRule="auto"/>
      </w:pPr>
      <w:r>
        <w:rPr>
          <w:rFonts w:ascii="Calibri" w:hAnsi="Calibri"/>
          <w:b w:val="0"/>
          <w:sz w:val="21"/>
        </w:rPr>
        <w:t>The lines come from the case set's own file, so copy lines rather than assuming Halyard's. A type this case set does not carry has no field and its row stays blank.</w:t>
      </w:r>
    </w:p>
    <w:p>
      <w:pPr>
        <w:spacing w:before="80" w:after="0" w:line="240" w:lineRule="auto"/>
        <w:rPr>
          <w:sz w:val="2"/>
          <w:szCs w:val="2"/>
        </w:rPr>
      </w:pPr>
    </w:p>
    <w:tbl>
      <w:tblPr>
        <w:tblW w:type="auto" w:w="0"/>
        <w:jc w:val="left"/>
        <w:tblLayout w:type="fixed"/>
        <w:tblLook w:firstColumn="1" w:firstRow="1" w:lastColumn="0" w:lastRow="0" w:noHBand="0" w:noVBand="1" w:val="04A0"/>
      </w:tblPr>
      <w:tblGrid>
        <w:gridCol w:w="2102"/>
        <w:gridCol w:w="2102"/>
        <w:gridCol w:w="2102"/>
        <w:gridCol w:w="2102"/>
        <w:gridCol w:w="2102"/>
      </w:tblGrid>
      <w:tr>
        <w:trPr>
          <w:tblHeader/>
        </w:trPr>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Error type name</w:t>
            </w: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Lines lines</w:t>
            </w: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Seen calls_seen</w:t>
            </w: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Call agreement call_agreement_rate</w:t>
            </w: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Reason chip agreement reason_agreement_rate</w:t>
            </w:r>
          </w:p>
        </w:tc>
      </w:tr>
      <w:tr>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Arithmetic</w:t>
            </w: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Wrong direction</w:t>
            </w: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Timing</w:t>
            </w: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Unsupported driver</w:t>
            </w: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Unsupported attribution</w:t>
            </w: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Wrong account</w:t>
            </w: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No explanation</w:t>
            </w: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r>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Clean line, the control</w:t>
            </w: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02"/>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bl>
    <w:p>
      <w:pPr>
        <w:spacing w:before="96" w:after="0" w:line="240" w:lineRule="auto"/>
        <w:rPr>
          <w:sz w:val="2"/>
          <w:szCs w:val="2"/>
        </w:rPr>
      </w:pPr>
    </w:p>
    <w:p>
      <w:pPr>
        <w:spacing w:before="160" w:after="64" w:line="240" w:lineRule="auto"/>
        <w:pBdr>
          <w:bottom w:val="single" w:sz="6" w:space="1" w:color="000000"/>
        </w:pBdr>
        <w:keepNext/>
      </w:pPr>
      <w:r>
        <w:rPr>
          <w:rFonts w:ascii="Calibri" w:hAnsi="Calibri"/>
          <w:b/>
          <w:sz w:val="21"/>
          <w:spacing w:val="20"/>
        </w:rPr>
        <w:t>3. False flags on the clean lines, fields carrying the prefix `falseflag.`</w:t>
      </w:r>
    </w:p>
    <w:p>
      <w:pPr>
        <w:spacing w:before="0" w:after="0" w:line="240" w:lineRule="auto"/>
      </w:pPr>
      <w:r>
        <w:rPr>
          <w:rFonts w:ascii="Calibri" w:hAnsi="Calibri"/>
          <w:b w:val="0"/>
          <w:sz w:val="21"/>
        </w:rPr>
        <w:t>Clean lines on this case set falseflag.lines. One row per clean line, from falseflag.line&lt;N&gt;.flags and falseflag.line&lt;N&gt;.rate.</w:t>
      </w:r>
    </w:p>
    <w:p>
      <w:pPr>
        <w:spacing w:before="80" w:after="0" w:line="240" w:lineRule="auto"/>
        <w:rPr>
          <w:sz w:val="2"/>
          <w:szCs w:val="2"/>
        </w:rPr>
      </w:pPr>
    </w:p>
    <w:tbl>
      <w:tblPr>
        <w:tblW w:type="auto" w:w="0"/>
        <w:jc w:val="left"/>
        <w:tblLayout w:type="fixed"/>
        <w:tblLook w:firstColumn="1" w:firstRow="1" w:lastColumn="0" w:lastRow="0" w:noHBand="0" w:noVBand="1" w:val="04A0"/>
      </w:tblPr>
      <w:tblGrid>
        <w:gridCol w:w="3504"/>
        <w:gridCol w:w="3504"/>
        <w:gridCol w:w="3504"/>
      </w:tblGrid>
      <w:tr>
        <w:trPr>
          <w:tblHeader/>
        </w:trPr>
        <w:tc>
          <w:tcPr>
            <w:tcW w:type="dxa" w:w="331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Clean line</w:t>
            </w:r>
          </w:p>
        </w:tc>
        <w:tc>
          <w:tcPr>
            <w:tcW w:type="dxa" w:w="216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Flags</w:t>
            </w:r>
          </w:p>
        </w:tc>
        <w:tc>
          <w:tcPr>
            <w:tcW w:type="dxa" w:w="504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Share</w:t>
            </w:r>
          </w:p>
        </w:tc>
      </w:tr>
      <w:tr>
        <w:tc>
          <w:tcPr>
            <w:tcW w:type="dxa" w:w="331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60"/>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5040"/>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r>
        <w:tc>
          <w:tcPr>
            <w:tcW w:type="dxa" w:w="331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All clean lines</w:t>
            </w:r>
          </w:p>
        </w:tc>
        <w:tc>
          <w:tcPr>
            <w:tcW w:type="dxa" w:w="216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falseflag.flags</w:t>
            </w:r>
          </w:p>
        </w:tc>
        <w:tc>
          <w:tcPr>
            <w:tcW w:type="dxa" w:w="504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falseflag.overall_rate</w:t>
            </w:r>
          </w:p>
        </w:tc>
      </w:tr>
    </w:tbl>
    <w:p>
      <w:pPr>
        <w:spacing w:before="96" w:after="0" w:line="240" w:lineRule="auto"/>
        <w:rPr>
          <w:sz w:val="2"/>
          <w:szCs w:val="2"/>
        </w:rPr>
      </w:pPr>
    </w:p>
    <w:p>
      <w:pPr>
        <w:spacing w:before="96" w:after="0" w:line="240" w:lineRule="auto"/>
      </w:pPr>
      <w:r>
        <w:rPr>
          <w:rFonts w:ascii="Calibri" w:hAnsi="Calibri"/>
          <w:b w:val="0"/>
          <w:sz w:val="21"/>
        </w:rPr>
        <w:t>First attempts with no false flag falseflag.first_attempts_with_none.</w:t>
      </w:r>
    </w:p>
    <w:p>
      <w:pPr>
        <w:spacing w:before="160" w:after="64" w:line="240" w:lineRule="auto"/>
        <w:pBdr>
          <w:bottom w:val="single" w:sz="6" w:space="1" w:color="000000"/>
        </w:pBdr>
        <w:keepNext/>
      </w:pPr>
      <w:r>
        <w:rPr>
          <w:rFonts w:ascii="Calibri" w:hAnsi="Calibri"/>
          <w:b/>
          <w:sz w:val="21"/>
          <w:spacing w:val="20"/>
        </w:rPr>
        <w:t>4. The fresh case, lines nobody had seen, fields carrying the prefix `fresh.`</w:t>
      </w:r>
    </w:p>
    <w:p>
      <w:pPr>
        <w:spacing w:before="80" w:after="0" w:line="240" w:lineRule="auto"/>
        <w:rPr>
          <w:sz w:val="2"/>
          <w:szCs w:val="2"/>
        </w:rPr>
      </w:pPr>
    </w:p>
    <w:tbl>
      <w:tblPr>
        <w:tblW w:type="auto" w:w="0"/>
        <w:jc w:val="left"/>
        <w:tblLayout w:type="fixed"/>
        <w:tblLook w:firstColumn="1" w:firstRow="1" w:lastColumn="0" w:lastRow="0" w:noHBand="0" w:noVBand="1" w:val="04A0"/>
      </w:tblPr>
      <w:tblGrid>
        <w:gridCol w:w="2628"/>
        <w:gridCol w:w="2628"/>
        <w:gridCol w:w="2628"/>
        <w:gridCol w:w="2628"/>
      </w:tblGrid>
      <w:tr>
        <w:trPr>
          <w:tblHeader/>
        </w:trPr>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Fresh line line&lt;N&gt;.name</w:t>
            </w: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Keyed call line&lt;N&gt;.key</w:t>
            </w: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Call agreement line&lt;N&gt;.call_agreement_rate</w:t>
            </w: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Reason chip agreement line&lt;N&gt;.reason_agreement_rate</w:t>
            </w:r>
          </w:p>
        </w:tc>
      </w:tr>
      <w:tr>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1</w:t>
            </w: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2</w:t>
            </w: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3</w:t>
            </w: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4</w:t>
            </w: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r>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5</w:t>
            </w: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628"/>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bl>
    <w:p>
      <w:pPr>
        <w:spacing w:before="96" w:after="0" w:line="240" w:lineRule="auto"/>
        <w:rPr>
          <w:sz w:val="2"/>
          <w:szCs w:val="2"/>
        </w:rPr>
      </w:pPr>
    </w:p>
    <w:p>
      <w:pPr>
        <w:spacing w:before="96" w:after="0" w:line="240" w:lineRule="auto"/>
      </w:pPr>
      <w:r>
        <w:rPr>
          <w:rFonts w:ascii="Calibri" w:hAnsi="Calibri"/>
          <w:b w:val="0"/>
          <w:sz w:val="21"/>
        </w:rPr>
        <w:t>Fresh case fresh.call_agreement_mean and fresh.reason_agreement_mean, practice case r1.call_agreement_mean and r1.reason_agreement_mean. Median elapsed minutes on the page r1.lap_median, fresh case clock fresh.seconds_median.</w:t>
      </w:r>
    </w:p>
    <w:p>
      <w:pPr>
        <w:spacing w:before="160" w:after="64" w:line="240" w:lineRule="auto"/>
        <w:pBdr>
          <w:bottom w:val="single" w:sz="6" w:space="1" w:color="000000"/>
        </w:pBdr>
        <w:keepNext/>
      </w:pPr>
      <w:r>
        <w:rPr>
          <w:rFonts w:ascii="Calibri" w:hAnsi="Calibri"/>
          <w:b/>
          <w:sz w:val="21"/>
          <w:spacing w:val="20"/>
        </w:rPr>
        <w:t>5. Reason chip agreement, reported on its own</w:t>
      </w:r>
    </w:p>
    <w:p>
      <w:pPr>
        <w:spacing w:before="0" w:after="0" w:line="240" w:lineRule="auto"/>
      </w:pPr>
      <w:r>
        <w:rPr>
          <w:rFonts w:ascii="Calibri" w:hAnsi="Calibri"/>
          <w:b w:val="0"/>
          <w:sz w:val="21"/>
        </w:rPr>
        <w:t>A reason agrees when at least one chip was tapped and every chip tapped sits inside the line's basis key. This is agreement with the accepted reason categories, and it is never reported as reasoning quality or as learning gain. The limit on this case set, as the script states it: reason.limitation.</w:t>
      </w:r>
    </w:p>
    <w:p>
      <w:pPr>
        <w:spacing w:before="160" w:after="64" w:line="240" w:lineRule="auto"/>
        <w:pBdr>
          <w:bottom w:val="single" w:sz="6" w:space="1" w:color="000000"/>
        </w:pBdr>
        <w:keepNext/>
      </w:pPr>
      <w:r>
        <w:rPr>
          <w:rFonts w:ascii="Calibri" w:hAnsi="Calibri"/>
          <w:b/>
          <w:sz w:val="21"/>
          <w:spacing w:val="20"/>
        </w:rPr>
        <w:t>6. Educator-scored explanations, fields carrying the prefix `explain.`</w:t>
      </w:r>
    </w:p>
    <w:p>
      <w:pPr>
        <w:spacing w:before="0" w:after="0" w:line="240" w:lineRule="auto"/>
      </w:pPr>
      <w:r>
        <w:rPr>
          <w:rFonts w:ascii="Calibri" w:hAnsi="Calibri"/>
          <w:b w:val="0"/>
          <w:sz w:val="21"/>
        </w:rPr>
        <w:t>A separate result from section 5. From brightwater-v6 every fresh case call carries a three-part written explanation, and an independent educator scores each part 0 to 2 against RUBRIC.md on a sheet that never shows the machine's call result. Fresh case explain.case_version.</w:t>
      </w:r>
    </w:p>
    <w:p>
      <w:pPr>
        <w:spacing w:before="80" w:after="0" w:line="240" w:lineRule="auto"/>
        <w:rPr>
          <w:sz w:val="2"/>
          <w:szCs w:val="2"/>
        </w:rPr>
      </w:pPr>
    </w:p>
    <w:tbl>
      <w:tblPr>
        <w:tblW w:type="auto" w:w="0"/>
        <w:jc w:val="left"/>
        <w:tblLayout w:type="fixed"/>
        <w:tblLook w:firstColumn="1" w:firstRow="1" w:lastColumn="0" w:lastRow="0" w:noHBand="0" w:noVBand="1" w:val="04A0"/>
      </w:tblPr>
      <w:tblGrid>
        <w:gridCol w:w="5256"/>
        <w:gridCol w:w="5256"/>
      </w:tblGrid>
      <w:tr>
        <w:trPr>
          <w:tblHeader/>
        </w:trPr>
        <w:tc>
          <w:tcPr>
            <w:tcW w:type="dxa" w:w="208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Measure</w:t>
            </w:r>
          </w:p>
        </w:tc>
        <w:tc>
          <w:tcPr>
            <w:tcW w:type="dxa" w:w="8424"/>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Field</w:t>
            </w:r>
          </w:p>
        </w:tc>
      </w:tr>
      <w:tr>
        <w:tc>
          <w:tcPr>
            <w:tcW w:type="dxa" w:w="208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Fresh lines carrying a written explanation</w:t>
            </w:r>
          </w:p>
        </w:tc>
        <w:tc>
          <w:tcPr>
            <w:tcW w:type="dxa" w:w="8424"/>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explain.items_with_text</w:t>
            </w:r>
          </w:p>
        </w:tc>
      </w:tr>
      <w:tr>
        <w:tc>
          <w:tcPr>
            <w:tcW w:type="dxa" w:w="208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Fresh calls with no explanation text</w:t>
            </w:r>
          </w:p>
        </w:tc>
        <w:tc>
          <w:tcPr>
            <w:tcW w:type="dxa" w:w="8424"/>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explain.fresh_calls_without_text</w:t>
            </w:r>
          </w:p>
        </w:tc>
      </w:tr>
      <w:tr>
        <w:tc>
          <w:tcPr>
            <w:tcW w:type="dxa" w:w="208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Scored by the first scorer</w:t>
            </w:r>
          </w:p>
        </w:tc>
        <w:tc>
          <w:tcPr>
            <w:tcW w:type="dxa" w:w="8424"/>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explain.items_scored</w:t>
            </w:r>
          </w:p>
        </w:tc>
      </w:tr>
      <w:tr>
        <w:tc>
          <w:tcPr>
            <w:tcW w:type="dxa" w:w="208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Decisive evidence, mean of 2</w:t>
            </w:r>
          </w:p>
        </w:tc>
        <w:tc>
          <w:tcPr>
            <w:tcW w:type="dxa" w:w="8424"/>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explain.evidence_avg_of_2</w:t>
            </w:r>
          </w:p>
        </w:tc>
      </w:tr>
      <w:tr>
        <w:tc>
          <w:tcPr>
            <w:tcW w:type="dxa" w:w="208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Why it matters for this period, mean of 2</w:t>
            </w:r>
          </w:p>
        </w:tc>
        <w:tc>
          <w:tcPr>
            <w:tcW w:type="dxa" w:w="8424"/>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explain.period_avg_of_2</w:t>
            </w:r>
          </w:p>
        </w:tc>
      </w:tr>
      <w:tr>
        <w:tc>
          <w:tcPr>
            <w:tcW w:type="dxa" w:w="208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Action or source request, mean of 2</w:t>
            </w:r>
          </w:p>
        </w:tc>
        <w:tc>
          <w:tcPr>
            <w:tcW w:type="dxa" w:w="8424"/>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explain.action_avg_of_2</w:t>
            </w:r>
          </w:p>
        </w:tc>
      </w:tr>
      <w:tr>
        <w:tc>
          <w:tcPr>
            <w:tcW w:type="dxa" w:w="208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Total, mean of 6</w:t>
            </w:r>
          </w:p>
        </w:tc>
        <w:tc>
          <w:tcPr>
            <w:tcW w:type="dxa" w:w="8424"/>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explain.total_avg_of_6</w:t>
            </w:r>
          </w:p>
        </w:tc>
      </w:tr>
      <w:tr>
        <w:tc>
          <w:tcPr>
            <w:tcW w:type="dxa" w:w="208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Drawn for the second scorer, and scored by both</w:t>
            </w:r>
          </w:p>
        </w:tc>
        <w:tc>
          <w:tcPr>
            <w:tcW w:type="dxa" w:w="8424"/>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explain.second_scorer_drawn, explain.double_scored</w:t>
            </w:r>
          </w:p>
        </w:tc>
      </w:tr>
      <w:tr>
        <w:tc>
          <w:tcPr>
            <w:tcW w:type="dxa" w:w="208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Criterion scores given identically, and within one point</w:t>
            </w:r>
          </w:p>
        </w:tc>
        <w:tc>
          <w:tcPr>
            <w:tcW w:type="dxa" w:w="8424"/>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explain.second_exact_agreement_rate, explain.second_within_one_rate</w:t>
            </w:r>
          </w:p>
        </w:tc>
      </w:tr>
      <w:tr>
        <w:tc>
          <w:tcPr>
            <w:tcW w:type="dxa" w:w="2088"/>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Key disagreements the scorers recorded</w:t>
            </w:r>
          </w:p>
        </w:tc>
        <w:tc>
          <w:tcPr>
            <w:tcW w:type="dxa" w:w="8424"/>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val="0"/>
                <w:sz w:val="21"/>
              </w:rPr>
              <w:t>explain.key_disagreements_recorded</w:t>
            </w:r>
          </w:p>
        </w:tc>
      </w:tr>
    </w:tbl>
    <w:p>
      <w:pPr>
        <w:spacing w:before="96" w:after="0" w:line="240" w:lineRule="auto"/>
        <w:rPr>
          <w:sz w:val="2"/>
          <w:szCs w:val="2"/>
        </w:rPr>
      </w:pPr>
    </w:p>
    <w:p>
      <w:pPr>
        <w:spacing w:before="96" w:after="0" w:line="240" w:lineRule="auto"/>
      </w:pPr>
      <w:r>
        <w:rPr>
          <w:rFonts w:ascii="Calibri" w:hAnsi="Calibri"/>
          <w:b w:val="0"/>
          <w:sz w:val="21"/>
        </w:rPr>
        <w:t>With five items and no comparable baseline, these scores do not establish learning gain.</w:t>
      </w:r>
    </w:p>
    <w:p>
      <w:pPr>
        <w:spacing w:before="160" w:after="64" w:line="240" w:lineRule="auto"/>
        <w:pBdr>
          <w:bottom w:val="single" w:sz="6" w:space="1" w:color="000000"/>
        </w:pBdr>
        <w:keepNext/>
      </w:pPr>
      <w:r>
        <w:rPr>
          <w:rFonts w:ascii="Calibri" w:hAnsi="Calibri"/>
          <w:b/>
          <w:sz w:val="21"/>
          <w:spacing w:val="20"/>
        </w:rPr>
        <w:t>7. Lines in the player's own words, quoted where the reason chips agreed with the key</w:t>
      </w:r>
    </w:p>
    <w:p>
      <w:pPr>
        <w:spacing w:before="80" w:after="0" w:line="240" w:lineRule="auto"/>
        <w:rPr>
          <w:sz w:val="2"/>
          <w:szCs w:val="2"/>
        </w:rPr>
      </w:pPr>
    </w:p>
    <w:tbl>
      <w:tblPr>
        <w:tblW w:type="auto" w:w="0"/>
        <w:jc w:val="left"/>
        <w:tblLayout w:type="fixed"/>
        <w:tblLook w:firstColumn="1" w:firstRow="1" w:lastColumn="0" w:lastRow="0" w:noHBand="0" w:noVBand="1" w:val="04A0"/>
      </w:tblPr>
      <w:tblGrid>
        <w:gridCol w:w="3504"/>
        <w:gridCol w:w="3504"/>
        <w:gridCol w:w="3504"/>
      </w:tblGrid>
      <w:tr>
        <w:trPr>
          <w:tblHeader/>
        </w:trPr>
        <w:tc>
          <w:tcPr>
            <w:tcW w:type="dxa" w:w="3312"/>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Codename words.codename</w:t>
            </w:r>
          </w:p>
        </w:tc>
        <w:tc>
          <w:tcPr>
            <w:tcW w:type="dxa" w:w="216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Line, type words.line, words.type</w:t>
            </w:r>
          </w:p>
        </w:tc>
        <w:tc>
          <w:tcPr>
            <w:tcW w:type="dxa" w:w="5040"/>
            <w:tcBorders>
              <w:top w:val="single" w:sz="4" w:space="0" w:color="9A9A9A"/>
              <w:left w:val="single" w:sz="4" w:space="0" w:color="9A9A9A"/>
              <w:bottom w:val="single" w:sz="4" w:space="0" w:color="9A9A9A"/>
              <w:right w:val="single" w:sz="4" w:space="0" w:color="9A9A9A"/>
            </w:tcBorders>
          </w:tcPr>
          <w:p>
            <w:pPr>
              <w:spacing w:before="13" w:after="13" w:line="240" w:lineRule="auto"/>
            </w:pPr>
            <w:r>
              <w:rPr>
                <w:rFonts w:ascii="Calibri" w:hAnsi="Calibri"/>
                <w:b/>
                <w:sz w:val="21"/>
              </w:rPr>
              <w:t>Quote words.text</w:t>
            </w:r>
          </w:p>
        </w:tc>
      </w:tr>
      <w:tr>
        <w:tc>
          <w:tcPr>
            <w:tcW w:type="dxa" w:w="3312"/>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2160"/>
            <w:tcBorders>
              <w:top w:val="single" w:sz="4" w:space="0" w:color="9A9A9A"/>
              <w:left w:val="single" w:sz="4" w:space="0" w:color="9A9A9A"/>
              <w:bottom w:val="single" w:sz="4" w:space="0" w:color="9A9A9A"/>
              <w:right w:val="single" w:sz="4" w:space="0" w:color="9A9A9A"/>
            </w:tcBorders>
          </w:tcPr>
          <w:p>
            <w:pPr>
              <w:spacing w:before="13" w:after="13" w:line="240" w:lineRule="auto"/>
            </w:pPr>
          </w:p>
        </w:tc>
        <w:tc>
          <w:tcPr>
            <w:tcW w:type="dxa" w:w="5040"/>
            <w:tcBorders>
              <w:top w:val="single" w:sz="4" w:space="0" w:color="9A9A9A"/>
              <w:left w:val="single" w:sz="4" w:space="0" w:color="9A9A9A"/>
              <w:bottom w:val="single" w:sz="4" w:space="0" w:color="9A9A9A"/>
              <w:right w:val="single" w:sz="4" w:space="0" w:color="9A9A9A"/>
            </w:tcBorders>
          </w:tcPr>
          <w:p>
            <w:pPr>
              <w:spacing w:before="13" w:after="13" w:line="240" w:lineRule="auto"/>
            </w:pPr>
          </w:p>
        </w:tc>
      </w:tr>
    </w:tbl>
    <w:p>
      <w:pPr>
        <w:spacing w:before="96" w:after="0" w:line="240" w:lineRule="auto"/>
        <w:rPr>
          <w:sz w:val="2"/>
          <w:szCs w:val="2"/>
        </w:rPr>
      </w:pPr>
    </w:p>
    <w:p>
      <w:pPr>
        <w:spacing w:before="160" w:after="64" w:line="240" w:lineRule="auto"/>
        <w:pBdr>
          <w:bottom w:val="single" w:sz="6" w:space="1" w:color="000000"/>
        </w:pBdr>
        <w:keepNext/>
      </w:pPr>
      <w:r>
        <w:rPr>
          <w:rFonts w:ascii="Calibri" w:hAnsi="Calibri"/>
          <w:b/>
          <w:sz w:val="21"/>
          <w:spacing w:val="20"/>
        </w:rPr>
        <w:t>The roster, when you keep one</w:t>
      </w:r>
    </w:p>
    <w:p>
      <w:pPr>
        <w:spacing w:before="0" w:after="0" w:line="240" w:lineRule="auto"/>
      </w:pPr>
      <w:r>
        <w:rPr>
          <w:rFonts w:ascii="Calibri" w:hAnsi="Calibri"/>
          <w:b w:val="0"/>
          <w:sz w:val="21"/>
        </w:rPr>
        <w:t>A roster confirms people without adding accounts to the product. Write it after the session as a CSV with the columns participant,codename,consent,role, one row per codename a person used. participant is your own label, such as P01, and two codenames under one label count as one participant. consent must read yes for the row to be read at all. role is what you observed, such as student, practitioner or educator, and it is your record rather than anything the page asked. Keep names out of the file and keep the key from label to person with you.</w:t>
      </w:r>
    </w:p>
    <w:p>
      <w:pPr>
        <w:spacing w:before="160" w:after="64" w:line="240" w:lineRule="auto"/>
        <w:pBdr>
          <w:bottom w:val="single" w:sz="6" w:space="1" w:color="000000"/>
        </w:pBdr>
        <w:keepNext/>
      </w:pPr>
      <w:r>
        <w:rPr>
          <w:rFonts w:ascii="Calibri" w:hAnsi="Calibri"/>
          <w:b/>
          <w:sz w:val="21"/>
          <w:spacing w:val="20"/>
        </w:rPr>
        <w:t>Reading these honestly</w:t>
      </w:r>
    </w:p>
    <w:p>
      <w:pPr>
        <w:spacing w:before="0" w:after="0" w:line="240" w:lineRule="auto"/>
      </w:pPr>
      <w:r>
        <w:rPr>
          <w:rFonts w:ascii="Calibri" w:hAnsi="Calibri"/>
          <w:b w:val="0"/>
          <w:sz w:val="21"/>
        </w:rPr>
        <w:t>Every call and chip figure here is descriptive agreement with a key on one sitting, so report it as what this group called on these written lines and nothing more. Reason chip agreement and the educator-scored explanations are two separate results, and neither is reported in place of the other. The fresh lines are a second unseen item set scored the same way rather than a post-test, and with five items and no comparable baseline the gap between the two pairs separates two item sets rather than measuring learning, transfer or time saved. The findings print the page's rank beside each attempt, and a rank that leaves this page is a game rank, never a credential. A findings file stamped as a synthetic verification run never feeds this page. Write the case version and key date beside any number leaving this page, because a row scored against another version is not comparable.</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Second Pass: Results Readout</dc:title>
  <dc:subject>Second Pass: Beat the Machine, running the session in forty minutes</dc:subject>
  <dc:creator>Khaled Alkurd</dc:creator>
  <cp:keywords/>
  <dc:description>generated by python-docx</dc:description>
  <cp:lastModifiedBy>Khaled Alkurd</cp:lastModifiedBy>
  <cp:revision>1</cp:revision>
  <dcterms:created xsi:type="dcterms:W3CDTF">2026-09-14T01:52:27Z</dcterms:created>
  <dcterms:modified xsi:type="dcterms:W3CDTF">2026-09-14T01:52:27Z</dcterms:modified>
  <cp:category/>
</cp:coreProperties>
</file>