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96" w:line="240" w:lineRule="auto"/>
        <w:jc w:val="center"/>
        <w:keepNext/>
      </w:pPr>
      <w:r>
        <w:rPr>
          <w:rFonts w:ascii="Calibri" w:hAnsi="Calibri"/>
          <w:b/>
          <w:sz w:val="30"/>
        </w:rPr>
        <w:t>Second Pass: Beat the Machine, a Facilitator's Guide</w:t>
      </w:r>
    </w:p>
    <w:p>
      <w:pPr>
        <w:spacing w:before="72" w:after="0" w:line="240" w:lineRule="auto"/>
      </w:pPr>
      <w:r>
        <w:rPr>
          <w:rFonts w:ascii="Calibri" w:hAnsi="Calibri"/>
          <w:b w:val="0"/>
          <w:sz w:val="21"/>
        </w:rPr>
        <w:t>Forty minutes for a chapter meeting, a classroom or a firm's staff training. The long version is FACILITATOR-GUIDE.md.</w:t>
      </w:r>
    </w:p>
    <w:p>
      <w:pPr>
        <w:spacing w:before="120" w:after="48" w:line="240" w:lineRule="auto"/>
        <w:pBdr>
          <w:bottom w:val="single" w:sz="6" w:space="1" w:color="000000"/>
        </w:pBdr>
        <w:keepNext/>
      </w:pPr>
      <w:r>
        <w:rPr>
          <w:rFonts w:ascii="Calibri" w:hAnsi="Calibri"/>
          <w:b/>
          <w:sz w:val="21"/>
          <w:spacing w:val="20"/>
        </w:rPr>
        <w:t>What you need, and what to do first</w:t>
      </w:r>
    </w:p>
    <w:p>
      <w:pPr>
        <w:tabs>
          <w:tab w:pos="360" w:val="left"/>
        </w:tabs>
        <w:spacing w:before="30" w:after="0" w:line="240" w:lineRule="auto"/>
        <w:ind w:left="360" w:hanging="360"/>
      </w:pPr>
      <w:r>
        <w:rPr>
          <w:rFonts w:ascii="Calibri" w:hAnsi="Calibri"/>
          <w:sz w:val="21"/>
        </w:rPr>
        <w:t>•</w:t>
        <w:tab/>
      </w:r>
      <w:r>
        <w:rPr>
          <w:rFonts w:ascii="Calibri" w:hAnsi="Calibri"/>
          <w:b w:val="0"/>
          <w:sz w:val="21"/>
        </w:rPr>
        <w:t>The link, https://fiscalpatriots.github.io/beat-the-machine/, and a phone or laptop each. Nothing to install.</w:t>
      </w:r>
    </w:p>
    <w:p>
      <w:pPr>
        <w:tabs>
          <w:tab w:pos="360" w:val="left"/>
        </w:tabs>
        <w:spacing w:before="30" w:after="0" w:line="240" w:lineRule="auto"/>
        <w:ind w:left="360" w:hanging="360"/>
      </w:pPr>
      <w:r>
        <w:rPr>
          <w:rFonts w:ascii="Calibri" w:hAnsi="Calibri"/>
          <w:sz w:val="21"/>
        </w:rPr>
        <w:t>•</w:t>
        <w:tab/>
      </w:r>
      <w:r>
        <w:rPr>
          <w:rFonts w:ascii="Calibri" w:hAnsi="Calibri"/>
          <w:b w:val="0"/>
          <w:sz w:val="21"/>
        </w:rPr>
        <w:t>The response sheet, if you want numbers. Rounds post to a Google Form you must own to read. Without it, use a show of hands.</w:t>
      </w:r>
    </w:p>
    <w:p>
      <w:pPr>
        <w:tabs>
          <w:tab w:pos="360" w:val="left"/>
        </w:tabs>
        <w:spacing w:before="30" w:after="0" w:line="240" w:lineRule="auto"/>
        <w:ind w:left="360" w:hanging="360"/>
      </w:pPr>
      <w:r>
        <w:rPr>
          <w:rFonts w:ascii="Calibri" w:hAnsi="Calibri"/>
          <w:sz w:val="21"/>
        </w:rPr>
        <w:t>•</w:t>
        <w:tab/>
      </w:r>
      <w:r>
        <w:rPr>
          <w:rFonts w:ascii="Calibri" w:hAnsi="Calibri"/>
          <w:b w:val="0"/>
          <w:sz w:val="21"/>
        </w:rPr>
        <w:t>Send the link the day before only if you want scores in hand first, ask for one run each, and set a codename rule.</w:t>
      </w:r>
    </w:p>
    <w:p>
      <w:pPr>
        <w:spacing w:before="120" w:after="48" w:line="240" w:lineRule="auto"/>
        <w:pBdr>
          <w:bottom w:val="single" w:sz="6" w:space="1" w:color="000000"/>
        </w:pBdr>
        <w:keepNext/>
      </w:pPr>
      <w:r>
        <w:rPr>
          <w:rFonts w:ascii="Calibri" w:hAnsi="Calibri"/>
          <w:b/>
          <w:sz w:val="21"/>
          <w:spacing w:val="20"/>
        </w:rPr>
        <w:t>The session plan</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115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Minutes</w:t>
            </w:r>
          </w:p>
        </w:tc>
        <w:tc>
          <w:tcPr>
            <w:tcW w:type="dxa" w:w="187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Segment</w:t>
            </w:r>
          </w:p>
        </w:tc>
        <w:tc>
          <w:tcPr>
            <w:tcW w:type="dxa" w:w="74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What happens</w:t>
            </w:r>
          </w:p>
        </w:tc>
      </w:tr>
      <w:tr>
        <w:tc>
          <w:tcPr>
            <w:tcW w:type="dxa" w:w="115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Framing</w:t>
            </w:r>
          </w:p>
        </w:tc>
        <w:tc>
          <w:tcPr>
            <w:tcW w:type="dxa" w:w="74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The commentary is a built case, written the way an AI assistant writes one and carrying the mistakes they make, and the room is the second pass. Read the threshold rule aloud: a movement owes commentary only when it clears both $25,000 and 10 percent. Do not name the six error types first.</w:t>
            </w:r>
          </w:p>
        </w:tc>
      </w:tr>
      <w:tr>
        <w:tc>
          <w:tcPr>
            <w:tcW w:type="dxa" w:w="115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12</w:t>
            </w:r>
          </w:p>
        </w:tc>
        <w:tc>
          <w:tcPr>
            <w:tcW w:type="dxa" w:w="187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Play</w:t>
            </w:r>
          </w:p>
        </w:tc>
        <w:tc>
          <w:tcPr>
            <w:tcW w:type="dxa" w:w="74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Each person plays the fourteen Halyard lines alone. Par is ten minutes and no question about a line is answered.</w:t>
            </w:r>
          </w:p>
        </w:tc>
      </w:tr>
      <w:tr>
        <w:tc>
          <w:tcPr>
            <w:tcW w:type="dxa" w:w="115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3</w:t>
            </w:r>
          </w:p>
        </w:tc>
        <w:tc>
          <w:tcPr>
            <w:tcW w:type="dxa" w:w="187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Fresh case</w:t>
            </w:r>
          </w:p>
        </w:tc>
        <w:tc>
          <w:tcPr>
            <w:tcW w:type="dxa" w:w="74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Five lines of a dental group nobody has seen, scored on their own. Say only what the bridge screen says.</w:t>
            </w:r>
          </w:p>
        </w:tc>
      </w:tr>
      <w:tr>
        <w:tc>
          <w:tcPr>
            <w:tcW w:type="dxa" w:w="115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15</w:t>
            </w:r>
          </w:p>
        </w:tc>
        <w:tc>
          <w:tcPr>
            <w:tcW w:type="dxa" w:w="187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Debrief</w:t>
            </w:r>
          </w:p>
        </w:tc>
        <w:tc>
          <w:tcPr>
            <w:tcW w:type="dxa" w:w="74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The six questions below, two answers from the room on each.</w:t>
            </w:r>
          </w:p>
        </w:tc>
      </w:tr>
      <w:tr>
        <w:tc>
          <w:tcPr>
            <w:tcW w:type="dxa" w:w="115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5</w:t>
            </w:r>
          </w:p>
        </w:tc>
        <w:tc>
          <w:tcPr>
            <w:tcW w:type="dxa" w:w="187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Close</w:t>
            </w:r>
          </w:p>
        </w:tc>
        <w:tc>
          <w:tcPr>
            <w:tcW w:type="dxa" w:w="7488"/>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The numbers back to the room. A script recomputes four of the six failures, and invented driver and timing stay with a person.</w:t>
            </w:r>
          </w:p>
        </w:tc>
      </w:tr>
    </w:tbl>
    <w:p>
      <w:pPr>
        <w:spacing w:before="72" w:after="0" w:line="240" w:lineRule="auto"/>
        <w:rPr>
          <w:sz w:val="2"/>
          <w:szCs w:val="2"/>
        </w:rPr>
      </w:pPr>
    </w:p>
    <w:p>
      <w:pPr>
        <w:spacing w:before="120" w:after="48" w:line="240" w:lineRule="auto"/>
        <w:pBdr>
          <w:bottom w:val="single" w:sz="6" w:space="1" w:color="000000"/>
        </w:pBdr>
        <w:keepNext/>
      </w:pPr>
      <w:r>
        <w:rPr>
          <w:rFonts w:ascii="Calibri" w:hAnsi="Calibri"/>
          <w:b/>
          <w:sz w:val="21"/>
          <w:spacing w:val="20"/>
        </w:rPr>
        <w:t>The debrief, six questions in order</w:t>
      </w:r>
    </w:p>
    <w:p>
      <w:pPr>
        <w:spacing w:before="60" w:after="0" w:line="240" w:lineRule="auto"/>
        <w:rPr>
          <w:sz w:val="2"/>
          <w:szCs w:val="2"/>
        </w:rPr>
      </w:pPr>
    </w:p>
    <w:tbl>
      <w:tblPr>
        <w:tblW w:type="auto" w:w="0"/>
        <w:jc w:val="left"/>
        <w:tblLayout w:type="fixed"/>
        <w:tblLook w:firstColumn="1" w:firstRow="1" w:lastColumn="0" w:lastRow="0" w:noHBand="0" w:noVBand="1" w:val="04A0"/>
      </w:tblPr>
      <w:tblGrid>
        <w:gridCol w:w="3504"/>
        <w:gridCol w:w="3504"/>
        <w:gridCol w:w="3504"/>
      </w:tblGrid>
      <w:tr>
        <w:trPr>
          <w:tblHeader/>
        </w:trP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Ask the room</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Type and lines</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sz w:val="21"/>
              </w:rPr>
              <w:t>The tell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Which figure did not tie to the ledger?</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Arithmetic, 1 and 8</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Check the number against the ledger before you read the reason attached to it.</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Which sentence has the movement backwards?</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Wrong direction, 3</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The memo said declined beside a June balance higher than May's.</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Which two sentences cannot both be true?</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Timing, 2</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One program is finished on June 30 and still running into August, and which holds decides whether June owes an accrual.</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Which reason sounded specific and rested on nothing?</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Invented driver, 7</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Ask what document would prove it. Nothing on file means a guess wearing a fact's clothes.</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Where did the memo explain one account by pointing at another?</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Wrong account, 12 and 14</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Go and look at the account it named. Depreciation did not move at all.</w:t>
            </w:r>
          </w:p>
        </w:tc>
      </w:tr>
      <w:tr>
        <w:tc>
          <w:tcPr>
            <w:tcW w:type="dxa" w:w="3312"/>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Which account owed an explanation and got no sentence?</w:t>
            </w:r>
          </w:p>
        </w:tc>
        <w:tc>
          <w:tcPr>
            <w:tcW w:type="dxa" w:w="216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Silence, 11</w:t>
            </w:r>
          </w:p>
        </w:tc>
        <w:tc>
          <w:tcPr>
            <w:tcW w:type="dxa" w:w="5040"/>
            <w:tcBorders>
              <w:top w:val="single" w:sz="4" w:space="0" w:color="9A9A9A"/>
              <w:left w:val="single" w:sz="4" w:space="0" w:color="9A9A9A"/>
              <w:bottom w:val="single" w:sz="4" w:space="0" w:color="9A9A9A"/>
              <w:right w:val="single" w:sz="4" w:space="0" w:color="9A9A9A"/>
            </w:tcBorders>
          </w:tcPr>
          <w:p>
            <w:pPr>
              <w:spacing w:before="10" w:after="10" w:line="240" w:lineRule="auto"/>
            </w:pPr>
            <w:r>
              <w:rPr>
                <w:rFonts w:ascii="Calibri" w:hAnsi="Calibri"/>
                <w:b w:val="0"/>
                <w:sz w:val="21"/>
              </w:rPr>
              <w:t>Read the ledger for what the memo left out, not only for what it got wrong. This is the one the room misses, at 77.8 percent against 88.9 percent on the visibly wrong lines.</w:t>
            </w:r>
          </w:p>
        </w:tc>
      </w:tr>
    </w:tbl>
    <w:p>
      <w:pPr>
        <w:spacing w:before="72" w:after="0" w:line="240" w:lineRule="auto"/>
        <w:rPr>
          <w:sz w:val="2"/>
          <w:szCs w:val="2"/>
        </w:rPr>
      </w:pPr>
    </w:p>
    <w:p>
      <w:pPr>
        <w:spacing w:before="120" w:after="48" w:line="240" w:lineRule="auto"/>
        <w:pBdr>
          <w:bottom w:val="single" w:sz="6" w:space="1" w:color="000000"/>
        </w:pBdr>
        <w:keepNext/>
      </w:pPr>
      <w:r>
        <w:rPr>
          <w:rFonts w:ascii="Calibri" w:hAnsi="Calibri"/>
          <w:b/>
          <w:sz w:val="21"/>
          <w:spacing w:val="20"/>
        </w:rPr>
        <w:t>Reading the response sheet in five minutes</w:t>
      </w:r>
    </w:p>
    <w:p>
      <w:pPr>
        <w:spacing w:before="0" w:after="0" w:line="240" w:lineRule="auto"/>
      </w:pPr>
      <w:r>
        <w:rPr>
          <w:rFonts w:ascii="Calibri" w:hAnsi="Calibri"/>
          <w:b w:val="0"/>
          <w:sz w:val="21"/>
        </w:rPr>
        <w:t>Download the responses as comma separated values and run findings.py against the file, or take three numbers by hand. Catch rate on the eight problem lines, 1, 2, 3, 7, 8, 11, 12 and 14, noting that card one is inverted so flagging account 4200 posts Reject. False flags on the six clean lines, 4, 5, 6, 9, 10 and 13. The fresh case rate, which opens question C as Round2: 4/5. Count codenames, not rows, drop test rows, and treat anything filed before 12 September 2026 as an earlier key.</w:t>
      </w:r>
    </w:p>
    <w:p>
      <w:pPr>
        <w:spacing w:before="120" w:after="48" w:line="240" w:lineRule="auto"/>
        <w:pBdr>
          <w:bottom w:val="single" w:sz="6" w:space="1" w:color="000000"/>
        </w:pBdr>
        <w:keepNext/>
      </w:pPr>
      <w:r>
        <w:rPr>
          <w:rFonts w:ascii="Calibri" w:hAnsi="Calibri"/>
          <w:b/>
          <w:sz w:val="21"/>
          <w:spacing w:val="20"/>
        </w:rPr>
        <w:t>Variations, and what a student takes away</w:t>
      </w:r>
    </w:p>
    <w:p>
      <w:pPr>
        <w:spacing w:before="0" w:after="0" w:line="240" w:lineRule="auto"/>
      </w:pPr>
      <w:r>
        <w:rPr>
          <w:rFonts w:ascii="Calibri" w:hAnsi="Calibri"/>
          <w:b w:val="0"/>
          <w:sz w:val="21"/>
        </w:rPr>
        <w:t>Give an AI assistant a variance schedule of your own, ask for a sentence of commentary per account with a cause named, and run what it returns through checker.html on the projector. Or run the game as a timed assessment, or work a memo through PROTOCOL.md with the room split into preparer, reviewer and controller. The objectives hold either way: recompute before you read, a reason is a claim, silence is a finding, and a clean line is a decision too.</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Second Pass: Beat the Machine, a Facilitator's Guide</dc:title>
  <dc:subject>Second Pass: Beat the Machine, running the session in forty minutes</dc:subject>
  <dc:creator>Khaled Alkurd</dc:creator>
  <cp:keywords/>
  <dc:description>generated by python-docx</dc:description>
  <cp:lastModifiedBy>Khaled Alkurd</cp:lastModifiedBy>
  <cp:revision>1</cp:revision>
  <dcterms:created xsi:type="dcterms:W3CDTF">2026-09-13T05:05:49Z</dcterms:created>
  <dcterms:modified xsi:type="dcterms:W3CDTF">2026-09-13T05:05:49Z</dcterms:modified>
  <cp:category/>
</cp:coreProperties>
</file>