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30" w:lineRule="auto"/>
        <w:jc w:val="center"/>
        <w:keepNext/>
      </w:pPr>
      <w:r>
        <w:rPr>
          <w:rFonts w:ascii="Calibri" w:hAnsi="Calibri"/>
          <w:b/>
          <w:sz w:val="30"/>
        </w:rPr>
        <w:t>Second Pass: Beat the Machine, a Facilitator's Guide</w:t>
      </w:r>
    </w:p>
    <w:p>
      <w:pPr>
        <w:spacing w:before="30" w:after="0" w:line="230" w:lineRule="auto"/>
      </w:pPr>
      <w:r>
        <w:rPr>
          <w:rFonts w:ascii="Calibri" w:hAnsi="Calibri"/>
          <w:b w:val="0"/>
          <w:sz w:val="21"/>
        </w:rPr>
        <w:t>Forty minutes for a chapter meeting, a classroom or a firm's staff training. Version 2.2, 13 September 2026, against halyard-v4, brightwater-v6 and the build still stamped product 1.6.1. Long version: FACILITATOR-GUIDE.md.</w:t>
      </w:r>
    </w:p>
    <w:p>
      <w:pPr>
        <w:spacing w:before="50" w:after="20" w:line="230" w:lineRule="auto"/>
        <w:pBdr>
          <w:bottom w:val="single" w:sz="6" w:space="1" w:color="000000"/>
        </w:pBdr>
        <w:keepNext/>
      </w:pPr>
      <w:r>
        <w:rPr>
          <w:rFonts w:ascii="Calibri" w:hAnsi="Calibri"/>
          <w:b/>
          <w:sz w:val="21"/>
          <w:spacing w:val="20"/>
        </w:rPr>
        <w:t>What you need, and what to do first</w:t>
      </w:r>
    </w:p>
    <w:p>
      <w:pPr>
        <w:tabs>
          <w:tab w:pos="360" w:val="left"/>
        </w:tabs>
        <w:spacing w:before="12" w:after="0" w:line="230" w:lineRule="auto"/>
        <w:ind w:left="360" w:hanging="360"/>
      </w:pPr>
      <w:r>
        <w:rPr>
          <w:rFonts w:ascii="Calibri" w:hAnsi="Calibri"/>
          <w:sz w:val="21"/>
        </w:rPr>
        <w:t>•</w:t>
        <w:tab/>
      </w:r>
      <w:r>
        <w:rPr>
          <w:rFonts w:ascii="Calibri" w:hAnsi="Calibri"/>
          <w:b w:val="0"/>
          <w:sz w:val="21"/>
        </w:rPr>
        <w:t>The link, https://fiscalpatriots.github.io/beat-the-machine/, and a phone or laptop each. The header links Drill, Checker and Review.</w:t>
      </w:r>
    </w:p>
    <w:p>
      <w:pPr>
        <w:tabs>
          <w:tab w:pos="360" w:val="left"/>
        </w:tabs>
        <w:spacing w:before="12" w:after="0" w:line="230" w:lineRule="auto"/>
        <w:ind w:left="360" w:hanging="360"/>
      </w:pPr>
      <w:r>
        <w:rPr>
          <w:rFonts w:ascii="Calibri" w:hAnsi="Calibri"/>
          <w:sz w:val="21"/>
        </w:rPr>
        <w:t>•</w:t>
        <w:tab/>
      </w:r>
      <w:r>
        <w:rPr>
          <w:rFonts w:ascii="Calibri" w:hAnsi="Calibri"/>
          <w:b w:val="0"/>
          <w:sz w:val="21"/>
        </w:rPr>
        <w:t>The response sheet, if you want numbers. Rounds post to a Google Form you must own. Without it, take a show of hands. Walk it yourself first in test mode, ?test=1, which posts nothing.</w:t>
      </w:r>
    </w:p>
    <w:p>
      <w:pPr>
        <w:tabs>
          <w:tab w:pos="360" w:val="left"/>
        </w:tabs>
        <w:spacing w:before="12" w:after="0" w:line="230" w:lineRule="auto"/>
        <w:ind w:left="360" w:hanging="360"/>
      </w:pPr>
      <w:r>
        <w:rPr>
          <w:rFonts w:ascii="Calibri" w:hAnsi="Calibri"/>
          <w:sz w:val="21"/>
        </w:rPr>
        <w:t>•</w:t>
        <w:tab/>
      </w:r>
      <w:r>
        <w:rPr>
          <w:rFonts w:ascii="Calibri" w:hAnsi="Calibri"/>
          <w:b w:val="0"/>
          <w:sz w:val="21"/>
        </w:rPr>
        <w:t>Read the data notice rather than talking over it, and say pseudonymous. The chips include Professor and Outside Mason.</w:t>
      </w:r>
    </w:p>
    <w:p>
      <w:pPr>
        <w:spacing w:before="50" w:after="20" w:line="230" w:lineRule="auto"/>
        <w:pBdr>
          <w:bottom w:val="single" w:sz="6" w:space="1" w:color="000000"/>
        </w:pBdr>
        <w:keepNext/>
      </w:pPr>
      <w:r>
        <w:rPr>
          <w:rFonts w:ascii="Calibri" w:hAnsi="Calibri"/>
          <w:b/>
          <w:sz w:val="21"/>
          <w:spacing w:val="20"/>
        </w:rPr>
        <w:t>The session plan</w:t>
      </w:r>
    </w:p>
    <w:p>
      <w:pPr>
        <w:spacing w:before="25" w:after="0" w:line="230" w:lineRule="auto"/>
        <w:rPr>
          <w:sz w:val="2"/>
          <w:szCs w:val="2"/>
        </w:rPr>
      </w:pPr>
    </w:p>
    <w:tbl>
      <w:tblPr>
        <w:tblW w:type="auto" w:w="0"/>
        <w:jc w:val="left"/>
        <w:tblLayout w:type="fixed"/>
        <w:tblLook w:firstColumn="1" w:firstRow="1" w:lastColumn="0" w:lastRow="0" w:noHBand="0" w:noVBand="1" w:val="04A0"/>
      </w:tblPr>
      <w:tblGrid>
        <w:gridCol w:w="3504"/>
        <w:gridCol w:w="3504"/>
        <w:gridCol w:w="3504"/>
      </w:tblGrid>
      <w:tr>
        <w:trPr>
          <w:tblHeader/>
        </w:trPr>
        <w:tc>
          <w:tcPr>
            <w:tcW w:type="dxa" w:w="1152"/>
            <w:tcBorders>
              <w:top w:val="single" w:sz="4" w:space="0" w:color="9A9A9A"/>
              <w:left w:val="single" w:sz="4" w:space="0" w:color="9A9A9A"/>
              <w:bottom w:val="single" w:sz="4" w:space="0" w:color="9A9A9A"/>
              <w:right w:val="single" w:sz="4" w:space="0" w:color="9A9A9A"/>
            </w:tcBorders>
          </w:tcPr>
          <w:p>
            <w:pPr>
              <w:spacing w:before="4" w:after="4" w:line="230" w:lineRule="auto"/>
            </w:pPr>
            <w:r>
              <w:rPr>
                <w:rFonts w:ascii="Calibri" w:hAnsi="Calibri"/>
                <w:b/>
                <w:sz w:val="21"/>
              </w:rPr>
              <w:t>Minutes</w:t>
            </w:r>
          </w:p>
        </w:tc>
        <w:tc>
          <w:tcPr>
            <w:tcW w:type="dxa" w:w="1872"/>
            <w:tcBorders>
              <w:top w:val="single" w:sz="4" w:space="0" w:color="9A9A9A"/>
              <w:left w:val="single" w:sz="4" w:space="0" w:color="9A9A9A"/>
              <w:bottom w:val="single" w:sz="4" w:space="0" w:color="9A9A9A"/>
              <w:right w:val="single" w:sz="4" w:space="0" w:color="9A9A9A"/>
            </w:tcBorders>
          </w:tcPr>
          <w:p>
            <w:pPr>
              <w:spacing w:before="4" w:after="4" w:line="230" w:lineRule="auto"/>
            </w:pPr>
            <w:r>
              <w:rPr>
                <w:rFonts w:ascii="Calibri" w:hAnsi="Calibri"/>
                <w:b/>
                <w:sz w:val="21"/>
              </w:rPr>
              <w:t>Segment</w:t>
            </w:r>
          </w:p>
        </w:tc>
        <w:tc>
          <w:tcPr>
            <w:tcW w:type="dxa" w:w="7488"/>
            <w:tcBorders>
              <w:top w:val="single" w:sz="4" w:space="0" w:color="9A9A9A"/>
              <w:left w:val="single" w:sz="4" w:space="0" w:color="9A9A9A"/>
              <w:bottom w:val="single" w:sz="4" w:space="0" w:color="9A9A9A"/>
              <w:right w:val="single" w:sz="4" w:space="0" w:color="9A9A9A"/>
            </w:tcBorders>
          </w:tcPr>
          <w:p>
            <w:pPr>
              <w:spacing w:before="4" w:after="4" w:line="230" w:lineRule="auto"/>
            </w:pPr>
            <w:r>
              <w:rPr>
                <w:rFonts w:ascii="Calibri" w:hAnsi="Calibri"/>
                <w:b/>
                <w:sz w:val="21"/>
              </w:rPr>
              <w:t>What happens</w:t>
            </w:r>
          </w:p>
        </w:tc>
      </w:tr>
      <w:tr>
        <w:tc>
          <w:tcPr>
            <w:tcW w:type="dxa" w:w="1152"/>
            <w:tcBorders>
              <w:top w:val="single" w:sz="4" w:space="0" w:color="9A9A9A"/>
              <w:left w:val="single" w:sz="4" w:space="0" w:color="9A9A9A"/>
              <w:bottom w:val="single" w:sz="4" w:space="0" w:color="9A9A9A"/>
              <w:right w:val="single" w:sz="4" w:space="0" w:color="9A9A9A"/>
            </w:tcBorders>
          </w:tcPr>
          <w:p>
            <w:pPr>
              <w:spacing w:before="4" w:after="4" w:line="230" w:lineRule="auto"/>
            </w:pPr>
            <w:r>
              <w:rPr>
                <w:rFonts w:ascii="Calibri" w:hAnsi="Calibri"/>
                <w:b w:val="0"/>
                <w:sz w:val="21"/>
              </w:rPr>
              <w:t>5</w:t>
            </w:r>
          </w:p>
        </w:tc>
        <w:tc>
          <w:tcPr>
            <w:tcW w:type="dxa" w:w="1872"/>
            <w:tcBorders>
              <w:top w:val="single" w:sz="4" w:space="0" w:color="9A9A9A"/>
              <w:left w:val="single" w:sz="4" w:space="0" w:color="9A9A9A"/>
              <w:bottom w:val="single" w:sz="4" w:space="0" w:color="9A9A9A"/>
              <w:right w:val="single" w:sz="4" w:space="0" w:color="9A9A9A"/>
            </w:tcBorders>
          </w:tcPr>
          <w:p>
            <w:pPr>
              <w:spacing w:before="4" w:after="4" w:line="230" w:lineRule="auto"/>
            </w:pPr>
            <w:r>
              <w:rPr>
                <w:rFonts w:ascii="Calibri" w:hAnsi="Calibri"/>
                <w:b w:val="0"/>
                <w:sz w:val="21"/>
              </w:rPr>
              <w:t>Framing</w:t>
            </w:r>
          </w:p>
        </w:tc>
        <w:tc>
          <w:tcPr>
            <w:tcW w:type="dxa" w:w="7488"/>
            <w:tcBorders>
              <w:top w:val="single" w:sz="4" w:space="0" w:color="9A9A9A"/>
              <w:left w:val="single" w:sz="4" w:space="0" w:color="9A9A9A"/>
              <w:bottom w:val="single" w:sz="4" w:space="0" w:color="9A9A9A"/>
              <w:right w:val="single" w:sz="4" w:space="0" w:color="9A9A9A"/>
            </w:tcBorders>
          </w:tcPr>
          <w:p>
            <w:pPr>
              <w:spacing w:before="4" w:after="4" w:line="230" w:lineRule="auto"/>
            </w:pPr>
            <w:r>
              <w:rPr>
                <w:rFonts w:ascii="Calibri" w:hAnsi="Calibri"/>
                <w:b w:val="0"/>
                <w:sz w:val="21"/>
              </w:rPr>
              <w:t>A built case carrying the mistakes an AI assistant makes. Read the threshold rule aloud: above both $25,000 and 10 percent. Name no error types.</w:t>
            </w:r>
          </w:p>
        </w:tc>
      </w:tr>
      <w:tr>
        <w:tc>
          <w:tcPr>
            <w:tcW w:type="dxa" w:w="1152"/>
            <w:tcBorders>
              <w:top w:val="single" w:sz="4" w:space="0" w:color="9A9A9A"/>
              <w:left w:val="single" w:sz="4" w:space="0" w:color="9A9A9A"/>
              <w:bottom w:val="single" w:sz="4" w:space="0" w:color="9A9A9A"/>
              <w:right w:val="single" w:sz="4" w:space="0" w:color="9A9A9A"/>
            </w:tcBorders>
          </w:tcPr>
          <w:p>
            <w:pPr>
              <w:spacing w:before="4" w:after="4" w:line="230" w:lineRule="auto"/>
            </w:pPr>
            <w:r>
              <w:rPr>
                <w:rFonts w:ascii="Calibri" w:hAnsi="Calibri"/>
                <w:b w:val="0"/>
                <w:sz w:val="21"/>
              </w:rPr>
              <w:t>12</w:t>
            </w:r>
          </w:p>
        </w:tc>
        <w:tc>
          <w:tcPr>
            <w:tcW w:type="dxa" w:w="1872"/>
            <w:tcBorders>
              <w:top w:val="single" w:sz="4" w:space="0" w:color="9A9A9A"/>
              <w:left w:val="single" w:sz="4" w:space="0" w:color="9A9A9A"/>
              <w:bottom w:val="single" w:sz="4" w:space="0" w:color="9A9A9A"/>
              <w:right w:val="single" w:sz="4" w:space="0" w:color="9A9A9A"/>
            </w:tcBorders>
          </w:tcPr>
          <w:p>
            <w:pPr>
              <w:spacing w:before="4" w:after="4" w:line="230" w:lineRule="auto"/>
            </w:pPr>
            <w:r>
              <w:rPr>
                <w:rFonts w:ascii="Calibri" w:hAnsi="Calibri"/>
                <w:b w:val="0"/>
                <w:sz w:val="21"/>
              </w:rPr>
              <w:t>Play</w:t>
            </w:r>
          </w:p>
        </w:tc>
        <w:tc>
          <w:tcPr>
            <w:tcW w:type="dxa" w:w="7488"/>
            <w:tcBorders>
              <w:top w:val="single" w:sz="4" w:space="0" w:color="9A9A9A"/>
              <w:left w:val="single" w:sz="4" w:space="0" w:color="9A9A9A"/>
              <w:bottom w:val="single" w:sz="4" w:space="0" w:color="9A9A9A"/>
              <w:right w:val="single" w:sz="4" w:space="0" w:color="9A9A9A"/>
            </w:tcBorders>
          </w:tcPr>
          <w:p>
            <w:pPr>
              <w:spacing w:before="4" w:after="4" w:line="230" w:lineRule="auto"/>
            </w:pPr>
            <w:r>
              <w:rPr>
                <w:rFonts w:ascii="Calibri" w:hAnsi="Calibri"/>
                <w:b w:val="0"/>
                <w:sz w:val="21"/>
              </w:rPr>
              <w:t>The ledger alone first, tapping every line worth a second look, then the fourteen Halyard lines, alone, par ten minutes, no question about a line answered.</w:t>
            </w:r>
          </w:p>
        </w:tc>
      </w:tr>
      <w:tr>
        <w:tc>
          <w:tcPr>
            <w:tcW w:type="dxa" w:w="1152"/>
            <w:tcBorders>
              <w:top w:val="single" w:sz="4" w:space="0" w:color="9A9A9A"/>
              <w:left w:val="single" w:sz="4" w:space="0" w:color="9A9A9A"/>
              <w:bottom w:val="single" w:sz="4" w:space="0" w:color="9A9A9A"/>
              <w:right w:val="single" w:sz="4" w:space="0" w:color="9A9A9A"/>
            </w:tcBorders>
          </w:tcPr>
          <w:p>
            <w:pPr>
              <w:spacing w:before="4" w:after="4" w:line="230" w:lineRule="auto"/>
            </w:pPr>
            <w:r>
              <w:rPr>
                <w:rFonts w:ascii="Calibri" w:hAnsi="Calibri"/>
                <w:b w:val="0"/>
                <w:sz w:val="21"/>
              </w:rPr>
              <w:t>3</w:t>
            </w:r>
          </w:p>
        </w:tc>
        <w:tc>
          <w:tcPr>
            <w:tcW w:type="dxa" w:w="1872"/>
            <w:tcBorders>
              <w:top w:val="single" w:sz="4" w:space="0" w:color="9A9A9A"/>
              <w:left w:val="single" w:sz="4" w:space="0" w:color="9A9A9A"/>
              <w:bottom w:val="single" w:sz="4" w:space="0" w:color="9A9A9A"/>
              <w:right w:val="single" w:sz="4" w:space="0" w:color="9A9A9A"/>
            </w:tcBorders>
          </w:tcPr>
          <w:p>
            <w:pPr>
              <w:spacing w:before="4" w:after="4" w:line="230" w:lineRule="auto"/>
            </w:pPr>
            <w:r>
              <w:rPr>
                <w:rFonts w:ascii="Calibri" w:hAnsi="Calibri"/>
                <w:b w:val="0"/>
                <w:sz w:val="21"/>
              </w:rPr>
              <w:t>Fresh case</w:t>
            </w:r>
          </w:p>
        </w:tc>
        <w:tc>
          <w:tcPr>
            <w:tcW w:type="dxa" w:w="7488"/>
            <w:tcBorders>
              <w:top w:val="single" w:sz="4" w:space="0" w:color="9A9A9A"/>
              <w:left w:val="single" w:sz="4" w:space="0" w:color="9A9A9A"/>
              <w:bottom w:val="single" w:sz="4" w:space="0" w:color="9A9A9A"/>
              <w:right w:val="single" w:sz="4" w:space="0" w:color="9A9A9A"/>
            </w:tcBorders>
          </w:tcPr>
          <w:p>
            <w:pPr>
              <w:spacing w:before="4" w:after="4" w:line="230" w:lineRule="auto"/>
            </w:pPr>
            <w:r>
              <w:rPr>
                <w:rFonts w:ascii="Calibri" w:hAnsi="Calibri"/>
                <w:b w:val="0"/>
                <w:sz w:val="21"/>
              </w:rPr>
              <w:t>Five lines of a dental group nobody has seen: no reveal, score or track, and three written answers on every call. Say only what the bridge screen says.</w:t>
            </w:r>
          </w:p>
        </w:tc>
      </w:tr>
      <w:tr>
        <w:tc>
          <w:tcPr>
            <w:tcW w:type="dxa" w:w="1152"/>
            <w:tcBorders>
              <w:top w:val="single" w:sz="4" w:space="0" w:color="9A9A9A"/>
              <w:left w:val="single" w:sz="4" w:space="0" w:color="9A9A9A"/>
              <w:bottom w:val="single" w:sz="4" w:space="0" w:color="9A9A9A"/>
              <w:right w:val="single" w:sz="4" w:space="0" w:color="9A9A9A"/>
            </w:tcBorders>
          </w:tcPr>
          <w:p>
            <w:pPr>
              <w:spacing w:before="4" w:after="4" w:line="230" w:lineRule="auto"/>
            </w:pPr>
            <w:r>
              <w:rPr>
                <w:rFonts w:ascii="Calibri" w:hAnsi="Calibri"/>
                <w:b w:val="0"/>
                <w:sz w:val="21"/>
              </w:rPr>
              <w:t>15</w:t>
            </w:r>
          </w:p>
        </w:tc>
        <w:tc>
          <w:tcPr>
            <w:tcW w:type="dxa" w:w="1872"/>
            <w:tcBorders>
              <w:top w:val="single" w:sz="4" w:space="0" w:color="9A9A9A"/>
              <w:left w:val="single" w:sz="4" w:space="0" w:color="9A9A9A"/>
              <w:bottom w:val="single" w:sz="4" w:space="0" w:color="9A9A9A"/>
              <w:right w:val="single" w:sz="4" w:space="0" w:color="9A9A9A"/>
            </w:tcBorders>
          </w:tcPr>
          <w:p>
            <w:pPr>
              <w:spacing w:before="4" w:after="4" w:line="230" w:lineRule="auto"/>
            </w:pPr>
            <w:r>
              <w:rPr>
                <w:rFonts w:ascii="Calibri" w:hAnsi="Calibri"/>
                <w:b w:val="0"/>
                <w:sz w:val="21"/>
              </w:rPr>
              <w:t>Debrief</w:t>
            </w:r>
          </w:p>
        </w:tc>
        <w:tc>
          <w:tcPr>
            <w:tcW w:type="dxa" w:w="7488"/>
            <w:tcBorders>
              <w:top w:val="single" w:sz="4" w:space="0" w:color="9A9A9A"/>
              <w:left w:val="single" w:sz="4" w:space="0" w:color="9A9A9A"/>
              <w:bottom w:val="single" w:sz="4" w:space="0" w:color="9A9A9A"/>
              <w:right w:val="single" w:sz="4" w:space="0" w:color="9A9A9A"/>
            </w:tcBorders>
          </w:tcPr>
          <w:p>
            <w:pPr>
              <w:spacing w:before="4" w:after="4" w:line="230" w:lineRule="auto"/>
            </w:pPr>
            <w:r>
              <w:rPr>
                <w:rFonts w:ascii="Calibri" w:hAnsi="Calibri"/>
                <w:b w:val="0"/>
                <w:sz w:val="21"/>
              </w:rPr>
              <w:t>The six questions below, two answers each, then three minutes on the reason.</w:t>
            </w:r>
          </w:p>
        </w:tc>
      </w:tr>
      <w:tr>
        <w:tc>
          <w:tcPr>
            <w:tcW w:type="dxa" w:w="1152"/>
            <w:tcBorders>
              <w:top w:val="single" w:sz="4" w:space="0" w:color="9A9A9A"/>
              <w:left w:val="single" w:sz="4" w:space="0" w:color="9A9A9A"/>
              <w:bottom w:val="single" w:sz="4" w:space="0" w:color="9A9A9A"/>
              <w:right w:val="single" w:sz="4" w:space="0" w:color="9A9A9A"/>
            </w:tcBorders>
          </w:tcPr>
          <w:p>
            <w:pPr>
              <w:spacing w:before="4" w:after="4" w:line="230" w:lineRule="auto"/>
            </w:pPr>
            <w:r>
              <w:rPr>
                <w:rFonts w:ascii="Calibri" w:hAnsi="Calibri"/>
                <w:b w:val="0"/>
                <w:sz w:val="21"/>
              </w:rPr>
              <w:t>5</w:t>
            </w:r>
          </w:p>
        </w:tc>
        <w:tc>
          <w:tcPr>
            <w:tcW w:type="dxa" w:w="1872"/>
            <w:tcBorders>
              <w:top w:val="single" w:sz="4" w:space="0" w:color="9A9A9A"/>
              <w:left w:val="single" w:sz="4" w:space="0" w:color="9A9A9A"/>
              <w:bottom w:val="single" w:sz="4" w:space="0" w:color="9A9A9A"/>
              <w:right w:val="single" w:sz="4" w:space="0" w:color="9A9A9A"/>
            </w:tcBorders>
          </w:tcPr>
          <w:p>
            <w:pPr>
              <w:spacing w:before="4" w:after="4" w:line="230" w:lineRule="auto"/>
            </w:pPr>
            <w:r>
              <w:rPr>
                <w:rFonts w:ascii="Calibri" w:hAnsi="Calibri"/>
                <w:b w:val="0"/>
                <w:sz w:val="21"/>
              </w:rPr>
              <w:t>Close</w:t>
            </w:r>
          </w:p>
        </w:tc>
        <w:tc>
          <w:tcPr>
            <w:tcW w:type="dxa" w:w="7488"/>
            <w:tcBorders>
              <w:top w:val="single" w:sz="4" w:space="0" w:color="9A9A9A"/>
              <w:left w:val="single" w:sz="4" w:space="0" w:color="9A9A9A"/>
              <w:bottom w:val="single" w:sz="4" w:space="0" w:color="9A9A9A"/>
              <w:right w:val="single" w:sz="4" w:space="0" w:color="9A9A9A"/>
            </w:tcBorders>
          </w:tcPr>
          <w:p>
            <w:pPr>
              <w:spacing w:before="4" w:after="4" w:line="230" w:lineRule="auto"/>
            </w:pPr>
            <w:r>
              <w:rPr>
                <w:rFonts w:ascii="Calibri" w:hAnsi="Calibri"/>
                <w:b w:val="0"/>
                <w:sz w:val="21"/>
              </w:rPr>
              <w:t>The numbers back, the voluntary send, and the argument: four checks recompute and two stay with a person.</w:t>
            </w:r>
          </w:p>
        </w:tc>
      </w:tr>
    </w:tbl>
    <w:p>
      <w:pPr>
        <w:spacing w:before="30" w:after="0" w:line="230" w:lineRule="auto"/>
        <w:rPr>
          <w:sz w:val="2"/>
          <w:szCs w:val="2"/>
        </w:rPr>
      </w:pPr>
    </w:p>
    <w:p>
      <w:pPr>
        <w:spacing w:before="50" w:after="20" w:line="230" w:lineRule="auto"/>
        <w:pBdr>
          <w:bottom w:val="single" w:sz="6" w:space="1" w:color="000000"/>
        </w:pBdr>
        <w:keepNext/>
      </w:pPr>
      <w:r>
        <w:rPr>
          <w:rFonts w:ascii="Calibri" w:hAnsi="Calibri"/>
          <w:b/>
          <w:sz w:val="21"/>
          <w:spacing w:val="20"/>
        </w:rPr>
        <w:t>The two-step lock, and the reason score</w:t>
      </w:r>
    </w:p>
    <w:p>
      <w:pPr>
        <w:spacing w:before="0" w:after="0" w:line="230" w:lineRule="auto"/>
      </w:pPr>
      <w:r>
        <w:rPr>
          <w:rFonts w:ascii="Calibri" w:hAnsi="Calibri"/>
          <w:b w:val="0"/>
          <w:sz w:val="21"/>
        </w:rPr>
        <w:t>The player calls the line, the buttons become a chip row, and no reveal comes until a chip is tapped. Say that in the framing. The chips: figure does not tie, direction wrong, no source on file, wrong period, wrong account, nothing written where owed, and on a stand, the figure and reason hold. Each card carries a key of the chips that fit it, so a reason scores right when one tapped chip is in the key and none is outside it. The badges read the calls alone, an agreeing reason adds points toward the rank, and the reason score tests the stated basis for contradiction rather than proving anybody reasoned.</w:t>
      </w:r>
    </w:p>
    <w:p>
      <w:pPr>
        <w:spacing w:before="50" w:after="20" w:line="230" w:lineRule="auto"/>
        <w:pBdr>
          <w:bottom w:val="single" w:sz="6" w:space="1" w:color="000000"/>
        </w:pBdr>
        <w:keepNext/>
      </w:pPr>
      <w:r>
        <w:rPr>
          <w:rFonts w:ascii="Calibri" w:hAnsi="Calibri"/>
          <w:b/>
          <w:sz w:val="21"/>
          <w:spacing w:val="20"/>
        </w:rPr>
        <w:t>The debrief, six questions in order</w:t>
      </w:r>
    </w:p>
    <w:p>
      <w:pPr>
        <w:spacing w:before="25" w:after="0" w:line="230" w:lineRule="auto"/>
        <w:rPr>
          <w:sz w:val="2"/>
          <w:szCs w:val="2"/>
        </w:rPr>
      </w:pPr>
    </w:p>
    <w:tbl>
      <w:tblPr>
        <w:tblW w:type="auto" w:w="0"/>
        <w:jc w:val="left"/>
        <w:tblLayout w:type="fixed"/>
        <w:tblLook w:firstColumn="1" w:firstRow="1" w:lastColumn="0" w:lastRow="0" w:noHBand="0" w:noVBand="1" w:val="04A0"/>
      </w:tblPr>
      <w:tblGrid>
        <w:gridCol w:w="3504"/>
        <w:gridCol w:w="3504"/>
        <w:gridCol w:w="3504"/>
      </w:tblGrid>
      <w:tr>
        <w:trPr>
          <w:tblHeader/>
        </w:trPr>
        <w:tc>
          <w:tcPr>
            <w:tcW w:type="dxa" w:w="3312"/>
            <w:tcBorders>
              <w:top w:val="single" w:sz="4" w:space="0" w:color="9A9A9A"/>
              <w:left w:val="single" w:sz="4" w:space="0" w:color="9A9A9A"/>
              <w:bottom w:val="single" w:sz="4" w:space="0" w:color="9A9A9A"/>
              <w:right w:val="single" w:sz="4" w:space="0" w:color="9A9A9A"/>
            </w:tcBorders>
          </w:tcPr>
          <w:p>
            <w:pPr>
              <w:spacing w:before="4" w:after="4" w:line="230" w:lineRule="auto"/>
            </w:pPr>
            <w:r>
              <w:rPr>
                <w:rFonts w:ascii="Calibri" w:hAnsi="Calibri"/>
                <w:b/>
                <w:sz w:val="21"/>
              </w:rPr>
              <w:t>Ask the room</w:t>
            </w:r>
          </w:p>
        </w:tc>
        <w:tc>
          <w:tcPr>
            <w:tcW w:type="dxa" w:w="2160"/>
            <w:tcBorders>
              <w:top w:val="single" w:sz="4" w:space="0" w:color="9A9A9A"/>
              <w:left w:val="single" w:sz="4" w:space="0" w:color="9A9A9A"/>
              <w:bottom w:val="single" w:sz="4" w:space="0" w:color="9A9A9A"/>
              <w:right w:val="single" w:sz="4" w:space="0" w:color="9A9A9A"/>
            </w:tcBorders>
          </w:tcPr>
          <w:p>
            <w:pPr>
              <w:spacing w:before="4" w:after="4" w:line="230" w:lineRule="auto"/>
            </w:pPr>
            <w:r>
              <w:rPr>
                <w:rFonts w:ascii="Calibri" w:hAnsi="Calibri"/>
                <w:b/>
                <w:sz w:val="21"/>
              </w:rPr>
              <w:t>Type and lines</w:t>
            </w:r>
          </w:p>
        </w:tc>
        <w:tc>
          <w:tcPr>
            <w:tcW w:type="dxa" w:w="5040"/>
            <w:tcBorders>
              <w:top w:val="single" w:sz="4" w:space="0" w:color="9A9A9A"/>
              <w:left w:val="single" w:sz="4" w:space="0" w:color="9A9A9A"/>
              <w:bottom w:val="single" w:sz="4" w:space="0" w:color="9A9A9A"/>
              <w:right w:val="single" w:sz="4" w:space="0" w:color="9A9A9A"/>
            </w:tcBorders>
          </w:tcPr>
          <w:p>
            <w:pPr>
              <w:spacing w:before="4" w:after="4" w:line="230" w:lineRule="auto"/>
            </w:pPr>
            <w:r>
              <w:rPr>
                <w:rFonts w:ascii="Calibri" w:hAnsi="Calibri"/>
                <w:b/>
                <w:sz w:val="21"/>
              </w:rPr>
              <w:t>The tell</w:t>
            </w:r>
          </w:p>
        </w:tc>
      </w:tr>
      <w:tr>
        <w:tc>
          <w:tcPr>
            <w:tcW w:type="dxa" w:w="3312"/>
            <w:tcBorders>
              <w:top w:val="single" w:sz="4" w:space="0" w:color="9A9A9A"/>
              <w:left w:val="single" w:sz="4" w:space="0" w:color="9A9A9A"/>
              <w:bottom w:val="single" w:sz="4" w:space="0" w:color="9A9A9A"/>
              <w:right w:val="single" w:sz="4" w:space="0" w:color="9A9A9A"/>
            </w:tcBorders>
          </w:tcPr>
          <w:p>
            <w:pPr>
              <w:spacing w:before="4" w:after="4" w:line="230" w:lineRule="auto"/>
            </w:pPr>
            <w:r>
              <w:rPr>
                <w:rFonts w:ascii="Calibri" w:hAnsi="Calibri"/>
                <w:b w:val="0"/>
                <w:sz w:val="21"/>
              </w:rPr>
              <w:t>Which figures did not tie?</w:t>
            </w:r>
          </w:p>
        </w:tc>
        <w:tc>
          <w:tcPr>
            <w:tcW w:type="dxa" w:w="2160"/>
            <w:tcBorders>
              <w:top w:val="single" w:sz="4" w:space="0" w:color="9A9A9A"/>
              <w:left w:val="single" w:sz="4" w:space="0" w:color="9A9A9A"/>
              <w:bottom w:val="single" w:sz="4" w:space="0" w:color="9A9A9A"/>
              <w:right w:val="single" w:sz="4" w:space="0" w:color="9A9A9A"/>
            </w:tcBorders>
          </w:tcPr>
          <w:p>
            <w:pPr>
              <w:spacing w:before="4" w:after="4" w:line="230" w:lineRule="auto"/>
            </w:pPr>
            <w:r>
              <w:rPr>
                <w:rFonts w:ascii="Calibri" w:hAnsi="Calibri"/>
                <w:b w:val="0"/>
                <w:sz w:val="21"/>
              </w:rPr>
              <w:t>Arithmetic, 1 and 8</w:t>
            </w:r>
          </w:p>
        </w:tc>
        <w:tc>
          <w:tcPr>
            <w:tcW w:type="dxa" w:w="5040"/>
            <w:tcBorders>
              <w:top w:val="single" w:sz="4" w:space="0" w:color="9A9A9A"/>
              <w:left w:val="single" w:sz="4" w:space="0" w:color="9A9A9A"/>
              <w:bottom w:val="single" w:sz="4" w:space="0" w:color="9A9A9A"/>
              <w:right w:val="single" w:sz="4" w:space="0" w:color="9A9A9A"/>
            </w:tcBorders>
          </w:tcPr>
          <w:p>
            <w:pPr>
              <w:spacing w:before="4" w:after="4" w:line="230" w:lineRule="auto"/>
            </w:pPr>
            <w:r>
              <w:rPr>
                <w:rFonts w:ascii="Calibri" w:hAnsi="Calibri"/>
                <w:b w:val="0"/>
                <w:sz w:val="21"/>
              </w:rPr>
              <w:t>Check the number against the ledger before you read the reason attached to it.</w:t>
            </w:r>
          </w:p>
        </w:tc>
      </w:tr>
      <w:tr>
        <w:tc>
          <w:tcPr>
            <w:tcW w:type="dxa" w:w="3312"/>
            <w:tcBorders>
              <w:top w:val="single" w:sz="4" w:space="0" w:color="9A9A9A"/>
              <w:left w:val="single" w:sz="4" w:space="0" w:color="9A9A9A"/>
              <w:bottom w:val="single" w:sz="4" w:space="0" w:color="9A9A9A"/>
              <w:right w:val="single" w:sz="4" w:space="0" w:color="9A9A9A"/>
            </w:tcBorders>
          </w:tcPr>
          <w:p>
            <w:pPr>
              <w:spacing w:before="4" w:after="4" w:line="230" w:lineRule="auto"/>
            </w:pPr>
            <w:r>
              <w:rPr>
                <w:rFonts w:ascii="Calibri" w:hAnsi="Calibri"/>
                <w:b w:val="0"/>
                <w:sz w:val="21"/>
              </w:rPr>
              <w:t>Which sentence runs backwards?</w:t>
            </w:r>
          </w:p>
        </w:tc>
        <w:tc>
          <w:tcPr>
            <w:tcW w:type="dxa" w:w="2160"/>
            <w:tcBorders>
              <w:top w:val="single" w:sz="4" w:space="0" w:color="9A9A9A"/>
              <w:left w:val="single" w:sz="4" w:space="0" w:color="9A9A9A"/>
              <w:bottom w:val="single" w:sz="4" w:space="0" w:color="9A9A9A"/>
              <w:right w:val="single" w:sz="4" w:space="0" w:color="9A9A9A"/>
            </w:tcBorders>
          </w:tcPr>
          <w:p>
            <w:pPr>
              <w:spacing w:before="4" w:after="4" w:line="230" w:lineRule="auto"/>
            </w:pPr>
            <w:r>
              <w:rPr>
                <w:rFonts w:ascii="Calibri" w:hAnsi="Calibri"/>
                <w:b w:val="0"/>
                <w:sz w:val="21"/>
              </w:rPr>
              <w:t>Wrong direction, 3</w:t>
            </w:r>
          </w:p>
        </w:tc>
        <w:tc>
          <w:tcPr>
            <w:tcW w:type="dxa" w:w="5040"/>
            <w:tcBorders>
              <w:top w:val="single" w:sz="4" w:space="0" w:color="9A9A9A"/>
              <w:left w:val="single" w:sz="4" w:space="0" w:color="9A9A9A"/>
              <w:bottom w:val="single" w:sz="4" w:space="0" w:color="9A9A9A"/>
              <w:right w:val="single" w:sz="4" w:space="0" w:color="9A9A9A"/>
            </w:tcBorders>
          </w:tcPr>
          <w:p>
            <w:pPr>
              <w:spacing w:before="4" w:after="4" w:line="230" w:lineRule="auto"/>
            </w:pPr>
            <w:r>
              <w:rPr>
                <w:rFonts w:ascii="Calibri" w:hAnsi="Calibri"/>
                <w:b w:val="0"/>
                <w:sz w:val="21"/>
              </w:rPr>
              <w:t>The memo said declined beside a June balance higher than May's.</w:t>
            </w:r>
          </w:p>
        </w:tc>
      </w:tr>
      <w:tr>
        <w:tc>
          <w:tcPr>
            <w:tcW w:type="dxa" w:w="3312"/>
            <w:tcBorders>
              <w:top w:val="single" w:sz="4" w:space="0" w:color="9A9A9A"/>
              <w:left w:val="single" w:sz="4" w:space="0" w:color="9A9A9A"/>
              <w:bottom w:val="single" w:sz="4" w:space="0" w:color="9A9A9A"/>
              <w:right w:val="single" w:sz="4" w:space="0" w:color="9A9A9A"/>
            </w:tcBorders>
          </w:tcPr>
          <w:p>
            <w:pPr>
              <w:spacing w:before="4" w:after="4" w:line="230" w:lineRule="auto"/>
            </w:pPr>
            <w:r>
              <w:rPr>
                <w:rFonts w:ascii="Calibri" w:hAnsi="Calibri"/>
                <w:b w:val="0"/>
                <w:sz w:val="21"/>
              </w:rPr>
              <w:t>Which two sentences cannot both be true?</w:t>
            </w:r>
          </w:p>
        </w:tc>
        <w:tc>
          <w:tcPr>
            <w:tcW w:type="dxa" w:w="2160"/>
            <w:tcBorders>
              <w:top w:val="single" w:sz="4" w:space="0" w:color="9A9A9A"/>
              <w:left w:val="single" w:sz="4" w:space="0" w:color="9A9A9A"/>
              <w:bottom w:val="single" w:sz="4" w:space="0" w:color="9A9A9A"/>
              <w:right w:val="single" w:sz="4" w:space="0" w:color="9A9A9A"/>
            </w:tcBorders>
          </w:tcPr>
          <w:p>
            <w:pPr>
              <w:spacing w:before="4" w:after="4" w:line="230" w:lineRule="auto"/>
            </w:pPr>
            <w:r>
              <w:rPr>
                <w:rFonts w:ascii="Calibri" w:hAnsi="Calibri"/>
                <w:b w:val="0"/>
                <w:sz w:val="21"/>
              </w:rPr>
              <w:t>Timing, 2</w:t>
            </w:r>
          </w:p>
        </w:tc>
        <w:tc>
          <w:tcPr>
            <w:tcW w:type="dxa" w:w="5040"/>
            <w:tcBorders>
              <w:top w:val="single" w:sz="4" w:space="0" w:color="9A9A9A"/>
              <w:left w:val="single" w:sz="4" w:space="0" w:color="9A9A9A"/>
              <w:bottom w:val="single" w:sz="4" w:space="0" w:color="9A9A9A"/>
              <w:right w:val="single" w:sz="4" w:space="0" w:color="9A9A9A"/>
            </w:tcBorders>
          </w:tcPr>
          <w:p>
            <w:pPr>
              <w:spacing w:before="4" w:after="4" w:line="230" w:lineRule="auto"/>
            </w:pPr>
            <w:r>
              <w:rPr>
                <w:rFonts w:ascii="Calibri" w:hAnsi="Calibri"/>
                <w:b w:val="0"/>
                <w:sz w:val="21"/>
              </w:rPr>
              <w:t>The same program is finished on June 30 and still running into August.</w:t>
            </w:r>
          </w:p>
        </w:tc>
      </w:tr>
      <w:tr>
        <w:tc>
          <w:tcPr>
            <w:tcW w:type="dxa" w:w="3312"/>
            <w:tcBorders>
              <w:top w:val="single" w:sz="4" w:space="0" w:color="9A9A9A"/>
              <w:left w:val="single" w:sz="4" w:space="0" w:color="9A9A9A"/>
              <w:bottom w:val="single" w:sz="4" w:space="0" w:color="9A9A9A"/>
              <w:right w:val="single" w:sz="4" w:space="0" w:color="9A9A9A"/>
            </w:tcBorders>
          </w:tcPr>
          <w:p>
            <w:pPr>
              <w:spacing w:before="4" w:after="4" w:line="230" w:lineRule="auto"/>
            </w:pPr>
            <w:r>
              <w:rPr>
                <w:rFonts w:ascii="Calibri" w:hAnsi="Calibri"/>
                <w:b w:val="0"/>
                <w:sz w:val="21"/>
              </w:rPr>
              <w:t>Which reasons sounded specific and rested on nothing?</w:t>
            </w:r>
          </w:p>
        </w:tc>
        <w:tc>
          <w:tcPr>
            <w:tcW w:type="dxa" w:w="2160"/>
            <w:tcBorders>
              <w:top w:val="single" w:sz="4" w:space="0" w:color="9A9A9A"/>
              <w:left w:val="single" w:sz="4" w:space="0" w:color="9A9A9A"/>
              <w:bottom w:val="single" w:sz="4" w:space="0" w:color="9A9A9A"/>
              <w:right w:val="single" w:sz="4" w:space="0" w:color="9A9A9A"/>
            </w:tcBorders>
          </w:tcPr>
          <w:p>
            <w:pPr>
              <w:spacing w:before="4" w:after="4" w:line="230" w:lineRule="auto"/>
            </w:pPr>
            <w:r>
              <w:rPr>
                <w:rFonts w:ascii="Calibri" w:hAnsi="Calibri"/>
                <w:b w:val="0"/>
                <w:sz w:val="21"/>
              </w:rPr>
              <w:t>Unsupported driver, 7 and 14</w:t>
            </w:r>
          </w:p>
        </w:tc>
        <w:tc>
          <w:tcPr>
            <w:tcW w:type="dxa" w:w="5040"/>
            <w:tcBorders>
              <w:top w:val="single" w:sz="4" w:space="0" w:color="9A9A9A"/>
              <w:left w:val="single" w:sz="4" w:space="0" w:color="9A9A9A"/>
              <w:bottom w:val="single" w:sz="4" w:space="0" w:color="9A9A9A"/>
              <w:right w:val="single" w:sz="4" w:space="0" w:color="9A9A9A"/>
            </w:tcBorders>
          </w:tcPr>
          <w:p>
            <w:pPr>
              <w:spacing w:before="4" w:after="4" w:line="230" w:lineRule="auto"/>
            </w:pPr>
            <w:r>
              <w:rPr>
                <w:rFonts w:ascii="Calibri" w:hAnsi="Calibri"/>
                <w:b w:val="0"/>
                <w:sz w:val="21"/>
              </w:rPr>
              <w:t>Ask what document would prove it. On 14 it points at depreciation, which never moved.</w:t>
            </w:r>
          </w:p>
        </w:tc>
      </w:tr>
      <w:tr>
        <w:tc>
          <w:tcPr>
            <w:tcW w:type="dxa" w:w="3312"/>
            <w:tcBorders>
              <w:top w:val="single" w:sz="4" w:space="0" w:color="9A9A9A"/>
              <w:left w:val="single" w:sz="4" w:space="0" w:color="9A9A9A"/>
              <w:bottom w:val="single" w:sz="4" w:space="0" w:color="9A9A9A"/>
              <w:right w:val="single" w:sz="4" w:space="0" w:color="9A9A9A"/>
            </w:tcBorders>
          </w:tcPr>
          <w:p>
            <w:pPr>
              <w:spacing w:before="4" w:after="4" w:line="230" w:lineRule="auto"/>
            </w:pPr>
            <w:r>
              <w:rPr>
                <w:rFonts w:ascii="Calibri" w:hAnsi="Calibri"/>
                <w:b w:val="0"/>
                <w:sz w:val="21"/>
              </w:rPr>
              <w:t>Where is a movement credited to a cause nobody documented?</w:t>
            </w:r>
          </w:p>
        </w:tc>
        <w:tc>
          <w:tcPr>
            <w:tcW w:type="dxa" w:w="2160"/>
            <w:tcBorders>
              <w:top w:val="single" w:sz="4" w:space="0" w:color="9A9A9A"/>
              <w:left w:val="single" w:sz="4" w:space="0" w:color="9A9A9A"/>
              <w:bottom w:val="single" w:sz="4" w:space="0" w:color="9A9A9A"/>
              <w:right w:val="single" w:sz="4" w:space="0" w:color="9A9A9A"/>
            </w:tcBorders>
          </w:tcPr>
          <w:p>
            <w:pPr>
              <w:spacing w:before="4" w:after="4" w:line="230" w:lineRule="auto"/>
            </w:pPr>
            <w:r>
              <w:rPr>
                <w:rFonts w:ascii="Calibri" w:hAnsi="Calibri"/>
                <w:b w:val="0"/>
                <w:sz w:val="21"/>
              </w:rPr>
              <w:t>Unsupported attribution, 12</w:t>
            </w:r>
          </w:p>
        </w:tc>
        <w:tc>
          <w:tcPr>
            <w:tcW w:type="dxa" w:w="5040"/>
            <w:tcBorders>
              <w:top w:val="single" w:sz="4" w:space="0" w:color="9A9A9A"/>
              <w:left w:val="single" w:sz="4" w:space="0" w:color="9A9A9A"/>
              <w:bottom w:val="single" w:sz="4" w:space="0" w:color="9A9A9A"/>
              <w:right w:val="single" w:sz="4" w:space="0" w:color="9A9A9A"/>
            </w:tcBorders>
          </w:tcPr>
          <w:p>
            <w:pPr>
              <w:spacing w:before="4" w:after="4" w:line="230" w:lineRule="auto"/>
            </w:pPr>
            <w:r>
              <w:rPr>
                <w:rFonts w:ascii="Calibri" w:hAnsi="Calibri"/>
                <w:b w:val="0"/>
                <w:sz w:val="21"/>
              </w:rPr>
              <w:t>Continued demand is a claim about customers, and no billing bridge is on file.</w:t>
            </w:r>
          </w:p>
        </w:tc>
      </w:tr>
      <w:tr>
        <w:tc>
          <w:tcPr>
            <w:tcW w:type="dxa" w:w="3312"/>
            <w:tcBorders>
              <w:top w:val="single" w:sz="4" w:space="0" w:color="9A9A9A"/>
              <w:left w:val="single" w:sz="4" w:space="0" w:color="9A9A9A"/>
              <w:bottom w:val="single" w:sz="4" w:space="0" w:color="9A9A9A"/>
              <w:right w:val="single" w:sz="4" w:space="0" w:color="9A9A9A"/>
            </w:tcBorders>
          </w:tcPr>
          <w:p>
            <w:pPr>
              <w:spacing w:before="4" w:after="4" w:line="230" w:lineRule="auto"/>
            </w:pPr>
            <w:r>
              <w:rPr>
                <w:rFonts w:ascii="Calibri" w:hAnsi="Calibri"/>
                <w:b w:val="0"/>
                <w:sz w:val="21"/>
              </w:rPr>
              <w:t>Which account owed an explanation and got none?</w:t>
            </w:r>
          </w:p>
        </w:tc>
        <w:tc>
          <w:tcPr>
            <w:tcW w:type="dxa" w:w="2160"/>
            <w:tcBorders>
              <w:top w:val="single" w:sz="4" w:space="0" w:color="9A9A9A"/>
              <w:left w:val="single" w:sz="4" w:space="0" w:color="9A9A9A"/>
              <w:bottom w:val="single" w:sz="4" w:space="0" w:color="9A9A9A"/>
              <w:right w:val="single" w:sz="4" w:space="0" w:color="9A9A9A"/>
            </w:tcBorders>
          </w:tcPr>
          <w:p>
            <w:pPr>
              <w:spacing w:before="4" w:after="4" w:line="230" w:lineRule="auto"/>
            </w:pPr>
            <w:r>
              <w:rPr>
                <w:rFonts w:ascii="Calibri" w:hAnsi="Calibri"/>
                <w:b w:val="0"/>
                <w:sz w:val="21"/>
              </w:rPr>
              <w:t>No explanation, 11</w:t>
            </w:r>
          </w:p>
        </w:tc>
        <w:tc>
          <w:tcPr>
            <w:tcW w:type="dxa" w:w="5040"/>
            <w:tcBorders>
              <w:top w:val="single" w:sz="4" w:space="0" w:color="9A9A9A"/>
              <w:left w:val="single" w:sz="4" w:space="0" w:color="9A9A9A"/>
              <w:bottom w:val="single" w:sz="4" w:space="0" w:color="9A9A9A"/>
              <w:right w:val="single" w:sz="4" w:space="0" w:color="9A9A9A"/>
            </w:tcBorders>
          </w:tcPr>
          <w:p>
            <w:pPr>
              <w:spacing w:before="4" w:after="4" w:line="230" w:lineRule="auto"/>
            </w:pPr>
            <w:r>
              <w:rPr>
                <w:rFonts w:ascii="Calibri" w:hAnsi="Calibri"/>
                <w:b w:val="0"/>
                <w:sz w:val="21"/>
              </w:rPr>
              <w:t>Read the ledger for what the memo left out, not only for what it got wrong.</w:t>
            </w:r>
          </w:p>
        </w:tc>
      </w:tr>
    </w:tbl>
    <w:p>
      <w:pPr>
        <w:spacing w:before="30" w:after="0" w:line="230" w:lineRule="auto"/>
        <w:rPr>
          <w:sz w:val="2"/>
          <w:szCs w:val="2"/>
        </w:rPr>
      </w:pPr>
    </w:p>
    <w:p>
      <w:pPr>
        <w:spacing w:before="30" w:after="0" w:line="230" w:lineRule="auto"/>
      </w:pPr>
      <w:r>
        <w:rPr>
          <w:rFonts w:ascii="Calibri" w:hAnsi="Calibri"/>
          <w:b w:val="0"/>
          <w:sz w:val="21"/>
        </w:rPr>
        <w:t>Then three minutes on the reason. Ask which chip they tapped, type by type, and put the key beside it: 1 and 8 figure does not tie, 3 direction wrong, 2 wrong period, 11 nothing written where owed; no source on file rides with all of those except 1 and stands alone on 7, 12 and 14; clean lines take the figure and reason hold. Watch for a right call through the wrong finding, a defect chip on a line they let stand, and no source on file tapped everywhere.</w:t>
      </w:r>
    </w:p>
    <w:p>
      <w:pPr>
        <w:spacing w:before="50" w:after="20" w:line="230" w:lineRule="auto"/>
        <w:pBdr>
          <w:bottom w:val="single" w:sz="6" w:space="1" w:color="000000"/>
        </w:pBdr>
        <w:keepNext/>
      </w:pPr>
      <w:r>
        <w:rPr>
          <w:rFonts w:ascii="Calibri" w:hAnsi="Calibri"/>
          <w:b/>
          <w:sz w:val="21"/>
          <w:spacing w:val="20"/>
        </w:rPr>
        <w:t>Reading the response sheet in five minutes</w:t>
      </w:r>
    </w:p>
    <w:p>
      <w:pPr>
        <w:spacing w:before="0" w:after="0" w:line="230" w:lineRule="auto"/>
      </w:pPr>
      <w:r>
        <w:rPr>
          <w:rFonts w:ascii="Calibri" w:hAnsi="Calibri"/>
          <w:b w:val="0"/>
          <w:sz w:val="21"/>
        </w:rPr>
        <w:t>Run findings.py against the downloaded responses and fill READOUT-TEMPLATE.md, or take four by hand: call accuracy on the eight problem lines, 1, 2, 3, 7, 8, 11, 12 and 14; false flags on the six clean lines; reason accuracy from Reason: agrees. in each Why cell; the fresh case from question C. The written answers await an educator's scoring against RUBRIC.md. Card one is inverted, so flagging 4200 posts Reject. Drop test rows, count attempts rather than rows, read only the first attempt under each codename, and never report codenames as people.</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3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Second Pass: Beat the Machine, a Facilitator's Guide</dc:title>
  <dc:subject>Second Pass: Beat the Machine, running the session in forty minutes</dc:subject>
  <dc:creator>Khaled Alkurd</dc:creator>
  <cp:keywords/>
  <dc:description>generated by python-docx</dc:description>
  <cp:lastModifiedBy>Khaled Alkurd</cp:lastModifiedBy>
  <cp:revision>1</cp:revision>
  <dcterms:created xsi:type="dcterms:W3CDTF">2026-09-14T03:56:34Z</dcterms:created>
  <dcterms:modified xsi:type="dcterms:W3CDTF">2026-09-14T03:56:34Z</dcterms:modified>
  <cp:category/>
</cp:coreProperties>
</file>