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Immunoglobulins and Fibrosis: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Generated Zotero-active Word fields; validated manually in Word/Zotero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Fibrosis is best understood as a persistent wound-healing program in which immune activation, fibroblast activation, and extracellular matrix remodeling fail to resolve </w:t>
      </w:r>
      <w:r>
        <w:fldChar w:fldCharType="begin"/>
      </w:r>
      <w:r>
        <w:instrText xml:space="preserve"> ADDIN ZOTERO_ITEM CSL_CITATION {"citationID":"citationtool-2ba439b1f2b5","citationItems":[{"id":"wynn-2012","uris":["http://zotero.org/users/local/citationtool/items/WYNN2012"],"itemData":{"id":"wynn-2012","type":"article-journal","title":"Mechanisms of fibrosis: therapeutic translation for fibrotic disease","container-title":"Nature Medicine","container-title-short":"Nat Med","author":[{"family":"Wynn","given":"Thomas A."},{"family":"Ramalingam","given":"Thirumalai R."}],"issued":{"date-parts":[[2012,7,6]]},"volume":"18","issue":"7","page":"1028-1040","DOI":"10.1038/nm.2807","PMID":"22772564","URL":"https://doi.org/10.1038/nm.2807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 xml:space="preserve">. Rather than being a passive scar, fibrotic tissue reflects ongoing crosstalk between inflammatory cells, tissue-resident stromal cells, and matrix-producing myofibroblasts </w:t>
      </w:r>
      <w:r>
        <w:fldChar w:fldCharType="begin"/>
      </w:r>
      <w:r>
        <w:instrText xml:space="preserve"> ADDIN ZOTERO_ITEM CSL_CITATION {"citationID":"citationtool-2ba439b1f2b5","citationItems":[{"id":"wynn-2012","uris":["http://zotero.org/users/local/citationtool/items/WYNN2012"],"itemData":{"id":"wynn-2012","type":"article-journal","title":"Mechanisms of fibrosis: therapeutic translation for fibrotic disease","container-title":"Nature Medicine","container-title-short":"Nat Med","author":[{"family":"Wynn","given":"Thomas A."},{"family":"Ramalingam","given":"Thirumalai R."}],"issued":{"date-parts":[[2012,7,6]]},"volume":"18","issue":"7","page":"1028-1040","DOI":"10.1038/nm.2807","PMID":"22772564","URL":"https://doi.org/10.1038/nm.2807"}}],"properties":{"formattedCitation":"[1]","plainCitation":"[1]","noteIndex":0},"schema":"https://github.com/citation-style-language/schema/raw/master/csl-citation.json"}</w:instrText>
      </w:r>
      <w:r>
        <w:fldChar w:fldCharType="separate"/>
      </w:r>
      <w:r>
        <w:t xml:space="preserve">[1]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Within this broader biology, IgG4-related disease provides a useful example of how an immunoglobulin-associated immune response can travel with organ fibrosis. The syndrome is characterized by tumor-like fibroinflammatory lesions across multiple organs, often with dense lymphoplasmacytic infiltrates and increased IgG4-positive plasma cells </w:t>
      </w:r>
      <w:r>
        <w:fldChar w:fldCharType="begin"/>
      </w:r>
      <w:r>
        <w:instrText xml:space="preserve"> ADDIN ZOTERO_ITEM CSL_CITATION {"citationID":"citationtool-670333fd621a","citationItems":[{"id":"stone-2012","uris":["http://zotero.org/users/local/citationtool/items/STONE201"],"itemData":{"id":"stone-2012","type":"article-journal","title":"IgG4-related disease","container-title":"The New England Journal of Medicine","container-title-short":"N Engl J Med","author":[{"family":"Stone","given":"John H."},{"family":"Zen","given":"Yoh"},{"family":"Deshpande","given":"Vikram"}],"issued":{"date-parts":[[2012,2,9]]},"volume":"366","issue":"6","page":"539-551","DOI":"10.1056/NEJMra1104650","PMID":"22316447","URL":"https://doi.org/10.1056/NEJMra1104650"}}],"properties":{"formattedCitation":"[2]","plainCitation":"[2]","noteIndex":0},"schema":"https://github.com/citation-style-language/schema/raw/master/csl-citation.json"}</w:instrText>
      </w:r>
      <w:r>
        <w:fldChar w:fldCharType="separate"/>
      </w:r>
      <w:r>
        <w:t xml:space="preserve">[2]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For a citation workflow, the most important distinction is that pathology claims should be anchored to tissue-based criteria rather than to serum IgG4 alone. Consensus pathology criteria emphasize dense lymphoplasmacytic infiltrate, storiform fibrosis, obliterative phlebitis, and increased IgG4-positive plasma cells in the appropriate clinical context </w:t>
      </w:r>
      <w:r>
        <w:fldChar w:fldCharType="begin"/>
      </w:r>
      <w:r>
        <w:instrText xml:space="preserve"> ADDIN ZOTERO_ITEM CSL_CITATION {"citationID":"citationtool-6c865163f0e4","citationItems":[{"id":"deshpande-2012","uris":["http://zotero.org/users/local/citationtool/items/DESHPAND"],"itemData":{"id":"deshpande-2012","type":"article-journal","title":"Consensus statement on the pathology of IgG4-related disease","container-title":"Modern Pathology","container-title-short":"Mod Pathol","author":[{"family":"Deshpande","given":"Vikram"},{"family":"Zen","given":"Yoh"},{"family":"Chan","given":"John KC"},{"family":"Yi","given":"Eunhee E."},{"family":"Sato","given":"Yasuharu"},{"family":"Yoshino","given":"Tadashi"},{"family":"Kloppel","given":"Gunter"},{"family":"Heathcote","given":"J. Godfrey"},{"family":"Khosroshahi","given":"Arezou"},{"family":"Ferry","given":"Judith A."},{"family":"Aalberse","given":"Rob C."},{"family":"Bloch","given":"Donald B."},{"family":"Brugge","given":"William R."},{"</w:instrText>
      </w:r>
      <w:r>
        <w:instrText xml:space="preserve">family":"Bateman","given":"Adrian C."},{"family":"Carruthers","given":"Mollie N."},{"family":"Chari","given":"Suresh T."},{"family":"Cheuk","given":"Wah"},{"family":"Cornell","given":"Lynn D."},{"family":"Fernandez-Del Castillo","given":"Carlos"},{"family":"Forcione","given":"David G."},{"family":"Hamilos","given":"Daniel L."},{"family":"Kamisawa","given":"Terumi"},{"family":"Kasashima","given":"Satomi"},{"family":"Kawa","given":"Shigeyuki"},{"family":"Kawano","given":"Mitsuhiro"},{"family":"Lauwers","given":"Gregory Y."},{"family":"Masaki","given":"Yasufumi"},{"family":"Nakanuma","given":"Yasuni"},{"family":"Notohara","given":"Kenji"},{"family":"Okazaki","given":"Kazuichi"},{"family":"Ryu","given":"Ji Kon"},{"family":"Saeki","given":"Takako"},{"family":"Sahani","given":"Dushyant V."},{"family":"Smyrk","given":"Thomas C."},{"family":"Stone","given":"James R."},{"family":"Takahira","given</w:instrText>
      </w:r>
      <w:r>
        <w:instrText xml:space="preserve">":"Masayuki"},{"family":"Webster","given":"George J."},{"family":"Yamamoto","given":"Motohisa"},{"family":"Zamboni","given":"Giuseppe"},{"family":"Umehara","given":"Hisanori"},{"family":"Stone","given":"John H."}],"issued":{"date-parts":[[2012,9]]},"volume":"25","issue":"9","page":"1181-1192","DOI":"10.1038/modpathol.2012.72","PMID":"22596100","URL":"https://doi.org/10.1038/modpathol.2012.72"}}],"properties":{"formattedCitation":"[3]","plainCitation":"[3]","noteIndex":0},"schema":"https://github.com/citation-style-language/schema/raw/master/csl-citation.json"}</w:instrText>
      </w:r>
      <w:r>
        <w:fldChar w:fldCharType="separate"/>
      </w:r>
      <w:r>
        <w:t xml:space="preserve">[3]</w:t>
      </w:r>
      <w:r>
        <w:fldChar w:fldCharType="end"/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pPr>
        <w:spacing w:after="120" w:line="276" w:lineRule="auto"/>
      </w:pPr>
      <w:r>
        <w:fldChar w:fldCharType="begin"/>
      </w:r>
      <w:r>
        <w:instrText xml:space="preserve"> ADDIN ZOTERO_BIBL {"uncited":[],"omitted":[],"custom":[]} CSL_BIBLIOGRAPHY</w:instrText>
      </w:r>
      <w:r>
        <w:fldChar w:fldCharType="separate"/>
      </w:r>
      <w:r>
        <w:t xml:space="preserve">1. Wynn and Ramalingam 2012. Mechanisms of fibrosis: therapeutic translation for fibrotic disease. Nat Med 18(7):1028-1040. doi:10.1038/nm.2807; PMID:22772564.</w:t>
      </w:r>
      <w:r>
        <w:br/>
        <w:t xml:space="preserve">2. Stone et al. 2012. IgG4-related disease. N Engl J Med 366(6):539-551. doi:10.1056/NEJMra1104650; PMID:22316447.</w:t>
      </w:r>
      <w:r>
        <w:br/>
        <w:t xml:space="preserve">3. Deshpande et al. 2012. Consensus statement on the pathology of IgG4-related disease. Mod Pathol 25(9):1181-1192. doi:10.1038/modpathol.2012.72; PMID:22596100.</w:t>
      </w:r>
      <w:r>
        <w:fldChar w:fldCharType="end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Zotero-active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