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Calibri" w:hAnsi="Calibri"/>
          <w:b/>
          <w:color w:val="0B2545"/>
          <w:sz w:val="40"/>
        </w:rPr>
        <w:t>Immunoglobulins and Fibrosis: Zotero-Active Draft</w:t>
      </w:r>
    </w:p>
    <w:p>
      <w:pPr>
        <w:spacing w:after="280"/>
      </w:pPr>
      <w:r>
        <w:rPr>
          <w:rFonts w:ascii="Calibri" w:hAnsi="Calibri"/>
          <w:i/>
          <w:color w:val="555555"/>
          <w:sz w:val="22"/>
        </w:rPr>
        <w:t>Fallback draft with visible Zotero placeholders</w:t>
      </w:r>
    </w:p>
    <w:p>
      <w:pPr>
        <w:pStyle w:val="Heading1"/>
      </w:pPr>
      <w:r>
        <w:t>Draft Introduction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Fibrosis is best understood as a persistent wound-healing program in which immune activation, fibroblast activation, and extracellular matrix remodeling fail to resolve </w:t>
      </w:r>
      <w:r>
        <w:rPr>
          <w:rFonts w:ascii="Calibri" w:hAnsi="Calibri"/>
          <w:sz w:val="22"/>
        </w:rPr>
        <w:t>[ZOTERO: Wynn 2012]</w:t>
      </w:r>
      <w:r>
        <w:rPr>
          <w:rFonts w:ascii="Calibri" w:hAnsi="Calibri"/>
          <w:sz w:val="22"/>
        </w:rPr>
        <w:t xml:space="preserve">. Rather than being a passive scar, fibrotic tissue reflects ongoing crosstalk between inflammatory cells, tissue-resident stromal cells, and matrix-producing myofibroblasts </w:t>
      </w:r>
      <w:r>
        <w:rPr>
          <w:rFonts w:ascii="Calibri" w:hAnsi="Calibri"/>
          <w:sz w:val="22"/>
        </w:rPr>
        <w:t>[ZOTERO: Wynn 2012]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Within this broader biology, IgG4-related disease provides a useful example of how an immunoglobulin-associated immune response can travel with organ fibrosis. The syndrome is characterized by tumor-like fibroinflammatory lesions across multiple organs, often with dense lymphoplasmacytic infiltrates and increased IgG4-positive plasma cells </w:t>
      </w:r>
      <w:r>
        <w:rPr>
          <w:rFonts w:ascii="Calibri" w:hAnsi="Calibri"/>
          <w:sz w:val="22"/>
        </w:rPr>
        <w:t>[ZOTERO: Stone 2012]</w:t>
      </w:r>
      <w:r>
        <w:rPr>
          <w:rFonts w:ascii="Calibri" w:hAnsi="Calibri"/>
          <w:sz w:val="22"/>
        </w:rPr>
        <w:t>.</w:t>
      </w:r>
    </w:p>
    <w:p>
      <w:pPr>
        <w:spacing w:after="160" w:line="300" w:lineRule="auto"/>
        <w:jc w:val="both"/>
      </w:pPr>
      <w:r>
        <w:rPr>
          <w:rFonts w:ascii="Calibri" w:hAnsi="Calibri"/>
          <w:sz w:val="22"/>
        </w:rPr>
        <w:t xml:space="preserve">For a citation workflow, the most important distinction is that pathology claims should be anchored to tissue-based criteria rather than to serum IgG4 alone. Consensus pathology criteria emphasize dense lymphoplasmacytic infiltrate, storiform fibrosis, obliterative phlebitis, and increased IgG4-positive plasma cells in the appropriate clinical context </w:t>
      </w:r>
      <w:r>
        <w:rPr>
          <w:rFonts w:ascii="Calibri" w:hAnsi="Calibri"/>
          <w:sz w:val="22"/>
        </w:rPr>
        <w:t>[ZOTERO: Deshpande 2012]</w:t>
      </w:r>
      <w:r>
        <w:rPr>
          <w:rFonts w:ascii="Calibri" w:hAnsi="Calibri"/>
          <w:sz w:val="22"/>
        </w:rPr>
        <w:t>.</w:t>
      </w:r>
    </w:p>
    <w:p>
      <w:pPr>
        <w:pStyle w:val="Heading1"/>
      </w:pPr>
      <w:r>
        <w:t>References</w:t>
      </w:r>
    </w:p>
    <w:p>
      <w:r>
        <w:rPr>
          <w:rFonts w:ascii="Calibri" w:hAnsi="Calibri"/>
          <w:i/>
          <w:sz w:val="21"/>
        </w:rPr>
        <w:t>[Fallback draft: replace each visible placeholder with Zotero Add/Edit Citation, then insert bibliography.]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>Generated CitationTool placeholder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