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/>
          <w:b/>
          <w:color w:val="0B2545"/>
          <w:sz w:val="40"/>
        </w:rPr>
        <w:t>B Cells in NASH/MASH: Zotero-Active Draft</w:t>
      </w:r>
    </w:p>
    <w:p>
      <w:pPr>
        <w:spacing w:after="280"/>
      </w:pPr>
      <w:r>
        <w:rPr>
          <w:rFonts w:ascii="Calibri" w:hAnsi="Calibri"/>
          <w:i/>
          <w:color w:val="555555"/>
          <w:sz w:val="22"/>
        </w:rPr>
        <w:t>Fallback draft with visible Zotero placeholders</w:t>
      </w:r>
    </w:p>
    <w:p>
      <w:pPr>
        <w:pStyle w:val="Heading1"/>
      </w:pPr>
      <w:r>
        <w:t>Draft Introduction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NASH, increasingly referred to within the newer MASH terminology, is not only a hepatocyte stress disorder but also an immune-remodeling state in which adaptive immune cells can shape inflammatory progression. Within that adaptive compartment, B cells have moved from being viewed as bystanders to being studied as candidate amplifiers and regulators of NAFLD/NASH pathogenesis </w:t>
      </w:r>
      <w:r>
        <w:rPr>
          <w:rFonts w:ascii="Calibri" w:hAnsi="Calibri"/>
          <w:sz w:val="22"/>
        </w:rPr>
        <w:t>[ZOTERO: Barrow 2021 review]</w:t>
      </w:r>
      <w:r>
        <w:rPr>
          <w:rFonts w:ascii="Calibri" w:hAnsi="Calibri"/>
          <w:sz w:val="22"/>
        </w:rPr>
        <w:t>.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Experimental evidence places B cells directly in the gut-liver axis of NASH. Intrahepatic B cells can be activated in a microbiota-driven manner and aggravate NASH through innate and adaptive immune signaling </w:t>
      </w:r>
      <w:r>
        <w:rPr>
          <w:rFonts w:ascii="Calibri" w:hAnsi="Calibri"/>
          <w:sz w:val="22"/>
        </w:rPr>
        <w:t>[ZOTERO: Barrow 2021 NASH]</w:t>
      </w:r>
      <w:r>
        <w:rPr>
          <w:rFonts w:ascii="Calibri" w:hAnsi="Calibri"/>
          <w:sz w:val="22"/>
        </w:rPr>
        <w:t xml:space="preserve">. More recent work further identifies intrahepatic CXCR5hi B cells induced by bacterial components as an inflammatory population that can express TNF-alpha, CD80, and MHC class II and promote T-cell activation in MASH models </w:t>
      </w:r>
      <w:r>
        <w:rPr>
          <w:rFonts w:ascii="Calibri" w:hAnsi="Calibri"/>
          <w:sz w:val="22"/>
        </w:rPr>
        <w:t>[ZOTERO: Kim 2025]</w:t>
      </w:r>
      <w:r>
        <w:rPr>
          <w:rFonts w:ascii="Calibri" w:hAnsi="Calibri"/>
          <w:sz w:val="22"/>
        </w:rPr>
        <w:t>.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For a grant introduction, the most defensible framing is therefore not simply that total B-cell abundance is increased, but that specific B-cell states and niches may matter. Single-cell profiling of intrahepatic B cells in MASH supports this subset-oriented view and provides a rationale to separate pathogenic, regulatory, and antigen-presenting B-cell programs in future studies </w:t>
      </w:r>
      <w:r>
        <w:rPr>
          <w:rFonts w:ascii="Calibri" w:hAnsi="Calibri"/>
          <w:sz w:val="22"/>
        </w:rPr>
        <w:t>[ZOTERO: Lu 2026]</w:t>
      </w:r>
      <w:r>
        <w:rPr>
          <w:rFonts w:ascii="Calibri" w:hAnsi="Calibri"/>
          <w:sz w:val="22"/>
        </w:rPr>
        <w:t>.</w:t>
      </w:r>
    </w:p>
    <w:p>
      <w:pPr>
        <w:pStyle w:val="Heading1"/>
      </w:pPr>
      <w:r>
        <w:t>References</w:t>
      </w:r>
    </w:p>
    <w:p>
      <w:r>
        <w:rPr>
          <w:rFonts w:ascii="Calibri" w:hAnsi="Calibri"/>
          <w:i/>
          <w:sz w:val="21"/>
        </w:rPr>
        <w:t>[Fallback draft: replace each visible placeholder with Zotero Add/Edit Citation, then insert bibliography.]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>Generated CitationTool placeholder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