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/>
          <w:b/>
          <w:color w:val="0B2545"/>
          <w:sz w:val="40"/>
        </w:rPr>
        <w:t>Immunoglobulins and Fibrosis: Zotero-Ready Draft</w:t>
      </w:r>
    </w:p>
    <w:p>
      <w:pPr>
        <w:spacing w:after="280"/>
      </w:pPr>
      <w:r>
        <w:rPr>
          <w:rFonts w:ascii="Calibri" w:hAnsi="Calibri"/>
          <w:i/>
          <w:color w:val="555555"/>
          <w:sz w:val="22"/>
        </w:rPr>
        <w:t>Prototype text with verified sources, temporary Zotero placeholders, and companion import files</w:t>
      </w:r>
    </w:p>
    <w:p>
      <w:pPr>
        <w:pStyle w:val="Heading1"/>
      </w:pPr>
      <w:r>
        <w:t>Draft Introduction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>Fibrosis is best understood as a persistent wound-healing program in which immune activation, fibroblast activation, and extracellular matrix remodeling fail to resolve [ZOTERO: Wynn 2012]. Rather than being a passive scar, fibrotic tissue reflects ongoing crosstalk between inflammatory cells, tissue-resident stromal cells, and matrix-producing myofibroblasts [ZOTERO: Wynn 2012].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>Within this broader biology, IgG4-related disease provides a useful example of how an immunoglobulin-associated immune response can travel with organ fibrosis. The syndrome is characterized by tumor-like fibroinflammatory lesions across multiple organs, often with dense lymphoplasmacytic infiltrates and increased IgG4-positive plasma cells [ZOTERO: Stone 2012].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>For a citation workflow, the most important distinction is that pathology claims should be anchored to tissue-based criteria rather than to serum IgG4 alone. Consensus pathology criteria emphasize dense lymphoplasmacytic infiltrate, storiform fibrosis, obliterative phlebitis, and increased IgG4-positive plasma cells in the appropriate clinical context [ZOTERO: Deshpande 2012].</w:t>
      </w:r>
    </w:p>
    <w:p>
      <w:pPr>
        <w:spacing w:before="160" w:after="200" w:line="276" w:lineRule="auto"/>
        <w:ind w:left="216" w:right="216"/>
        <w:shd w:fill="F4F6F9"/>
        <w:pBdr>
          <w:left w:val="single" w:sz="12" w:space="4" w:color="2E74B5"/>
        </w:pBdr>
      </w:pPr>
      <w:r>
        <w:rPr>
          <w:rFonts w:ascii="Calibri" w:hAnsi="Calibri"/>
          <w:b/>
          <w:sz w:val="21"/>
        </w:rPr>
        <w:t xml:space="preserve">Zotero handoff: </w:t>
      </w:r>
      <w:r>
        <w:rPr>
          <w:rFonts w:ascii="Calibri" w:hAnsi="Calibri"/>
          <w:sz w:val="21"/>
        </w:rPr>
        <w:t>Import the companion RIS or CSL JSON file into Zotero, replace each temporary placeholder with Zotero Word plugin Add/Edit Citation, then insert the bibliography under the References heading.</w:t>
      </w:r>
    </w:p>
    <w:p>
      <w:pPr>
        <w:pStyle w:val="Heading1"/>
        <w:keepNext/>
      </w:pPr>
      <w:r>
        <w:t>References</w:t>
      </w:r>
    </w:p>
    <w:p>
      <w:pPr>
        <w:spacing w:after="120"/>
      </w:pPr>
      <w:r>
        <w:rPr>
          <w:rFonts w:ascii="Calibri" w:hAnsi="Calibri"/>
          <w:i/>
          <w:sz w:val="21"/>
        </w:rPr>
        <w:t>[After replacing all placeholders with active Zotero citations, place the cursor below this paragraph and click Zotero &gt; Add/Edit Bibliography.]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t>Generated demo draft - replace placeholders with Zotero fields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