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color w:val="0B2545"/>
          <w:sz w:val="40"/>
        </w:rPr>
        <w:t>Aging and Immunoglobulins: Zotero-Active Draft</w:t>
      </w:r>
    </w:p>
    <w:p>
      <w:pPr>
        <w:spacing w:after="280"/>
      </w:pPr>
      <w:r>
        <w:rPr>
          <w:rFonts w:ascii="Calibri" w:hAnsi="Calibri"/>
          <w:i/>
          <w:color w:val="555555"/>
          <w:sz w:val="22"/>
        </w:rPr>
        <w:t>Short draft with verified references, abstract-level evidence, and Zotero-active Word fields</w:t>
      </w:r>
    </w:p>
    <w:p>
      <w:pPr>
        <w:pStyle w:val="Heading1"/>
      </w:pPr>
      <w:r>
        <w:t>Draft Introduction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Aging reshapes humoral immunity rather than simply lowering all antibody production. In mouse and human B cells, aging has been linked to reduced immunoglobulin class switching, lower activation-induced cytidine deaminase, and impaired affinity maturation, providing a mechanistic frame for weaker class-switched antibody responses </w:t>
      </w:r>
      <w:r>
        <w:fldChar w:fldCharType="begin"/>
      </w:r>
      <w:r>
        <w:instrText xml:space="preserve"> ADDIN ZOTERO_ITEM CSL_CITATION {"citationID":"citationtool-bd6824af13e4","citationItems":[{"id":"blomberg-2013","uris":["http://zotero.org/users/local/citationtool/items/BLOMBERG"],"itemData":{"id":"blomberg-2013","type":"article-journal","title":"Age effects on mouse and human B cells","container-title":"Immunologic Research","container-title-short":"Immunol Res","author":[{"family":"Blomberg","given":"BB"},{"family":"Frasca","given":"D"}],"issued":{"date-parts":[[2013,12]]},"volume":"57","issue":"1-3","page":"354-360","DOI":"10.1007/s12026-013-8440-9","PMID":"24203437","URL":"https://doi.org/10.1007/s12026-013-8440-9"}}],"properties":{"formattedCitation":"[1]","plainCitation":"[1]","noteIndex":0},"schema":"https://github.com/citation-style-language/schema/raw/master/csl-citation.json"}</w:instrText>
      </w:r>
      <w:r>
        <w:fldChar w:fldCharType="separate"/>
      </w:r>
      <w:r>
        <w:t xml:space="preserve">[1]</w:t>
      </w:r>
      <w:r>
        <w:fldChar w:fldCharType="end"/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This defect is visible in vaccination studies. After repeated influenza immunizations, elderly adults can maintain memory B-cell generation while failing to maintain the antibody response, suggesting that immunoglobulin output and quality may diverge from memory-cell counts </w:t>
      </w:r>
      <w:r>
        <w:fldChar w:fldCharType="begin"/>
      </w:r>
      <w:r>
        <w:instrText xml:space="preserve"> ADDIN ZOTERO_ITEM CSL_CITATION {"citationID":"citationtool-395edc02f40e","citationItems":[{"id":"frasca-2016","uris":["http://zotero.org/users/local/citationtool/items/FRASCA20"],"itemData":{"id":"frasca-2016","type":"article-journal","title":"The generation of memory B cells is maintained, but the antibody response is not, in the elderly after repeated influenza immunizations","container-title":"Vaccine","container-title-short":"Vaccine","author":[{"family":"Frasca","given":"D"},{"family":"Diaz","given":"A"},{"family":"Romero","given":"M"},{"family":"Blomberg","given":"BB"}],"issued":{"date-parts":[[2016,5,27]]},"volume":"34","issue":"25","page":"2834-2840","DOI":"10.1016/j.vaccine.2016.04.023","PMID":"27108193","URL":"https://doi.org/10.1016/j.vaccine.2016.04.023"}}],"properties":{"formattedCitation":"[2]","plainCitation":"[2]","noteIndex":0},"schema":"https://github.com/citation-styl</w:instrText>
      </w:r>
      <w:r>
        <w:instrText xml:space="preserve">e-language/schema/raw/master/csl-citation.json"}</w:instrText>
      </w:r>
      <w:r>
        <w:fldChar w:fldCharType="separate"/>
      </w:r>
      <w:r>
        <w:t xml:space="preserve">[2]</w:t>
      </w:r>
      <w:r>
        <w:fldChar w:fldCharType="end"/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Immunoglobulins also carry age information in their structure and clonal distribution. IgG N-glycan profiles have been reported as biomarkers of chronological and biological age, linking antibody Fc biology to aging-associated inflammatory phenotypes </w:t>
      </w:r>
      <w:r>
        <w:fldChar w:fldCharType="begin"/>
      </w:r>
      <w:r>
        <w:instrText xml:space="preserve"> ADDIN ZOTERO_ITEM CSL_CITATION {"citationID":"citationtool-4db8765fa45f","citationItems":[{"id":"kristic-2014","uris":["http://zotero.org/users/local/citationtool/items/KRISTIC2"],"itemData":{"id":"kristic-2014","type":"article-journal","title":"Glycans are a novel biomarker of chronological and biological ages","container-title":"The Journals of Gerontology. Series A, Biological Sciences and Medical Sciences","container-title-short":"J Gerontol A Biol Sci Med Sci","author":[{"family":"Kri\u0161ti\u0107","given":"J"},{"family":"Vu\u010dkovi\u0107","given":"F"},{"family":"Menni","given":"C"},{"family":"Klari\u0107","given":"L"},{"family":"Keser","given":"T"},{"family":"Beceheli","given":"I"},{"family":"Pu\u010di\u0107-Bakovi\u0107","given":"M"},{"family":"Novokmet","given":"M"},{"family":"Mangino","given":"M"},{"family":"Thaqi","given":"K"},{"family":"Rudan","given":"P"},{"family":"Novok</w:instrText>
      </w:r>
      <w:r>
        <w:instrText xml:space="preserve">met","given":"N"},{"family":"Sarac","given":"J"},{"family":"Missoni","given":"S"},{"family":"Kol\u010di\u0107","given":"I"},{"family":"Pola\u0161ek","given":"O"},{"family":"Rudan","given":"I"},{"family":"Campbell","given":"H"},{"family":"Hayward","given":"C"},{"family":"Aulchenko","given":"Y"},{"family":"Valdes","given":"A"},{"family":"Wilson","given":"JF"},{"family":"Gornik","given":"O"},{"family":"Primorac","given":"D"},{"family":"Zoldo\u0161","given":"V"},{"family":"Spector","given":"T"},{"family":"Lauc","given":"G"}],"issued":{"date-parts":[[2014,7]]},"volume":"69","issue":"7","page":"779-789","DOI":"10.1093/gerona/glt190","PMID":"24325898","URL":"https://doi.org/10.1093/gerona/glt190"}}],"properties":{"formattedCitation":"[3]","plainCitation":"[3]","noteIndex":0},"schema":"https://github.com/citation-style-language/schema/raw/master/csl-citation.json"}</w:instrText>
      </w:r>
      <w:r>
        <w:fldChar w:fldCharType="separate"/>
      </w:r>
      <w:r>
        <w:t xml:space="preserve">[3]</w:t>
      </w:r>
      <w:r>
        <w:fldChar w:fldCharType="end"/>
      </w:r>
      <w:r>
        <w:rPr>
          <w:rFonts w:ascii="Calibri" w:hAnsi="Calibri"/>
          <w:sz w:val="22"/>
        </w:rPr>
        <w:t xml:space="preserve">. At the clonal end of the spectrum, monoclonal gammopathy of undetermined significance is defined by a circulating monoclonal immunoglobulin and becomes more prevalent with age </w:t>
      </w:r>
      <w:r>
        <w:fldChar w:fldCharType="begin"/>
      </w:r>
      <w:r>
        <w:instrText xml:space="preserve"> ADDIN ZOTERO_ITEM CSL_CITATION {"citationID":"citationtool-a1fba57336c9","citationItems":[{"id":"kyle-2006","uris":["http://zotero.org/users/local/citationtool/items/KYLE2006"],"itemData":{"id":"kyle-2006","type":"article-journal","title":"Prevalence of monoclonal gammopathy of undetermined significance","container-title":"The New England Journal of Medicine","container-title-short":"N Engl J Med","author":[{"family":"Kyle","given":"RA"},{"family":"Therneau","given":"TM"},{"family":"Rajkumar","given":"SV"},{"family":"Larson","given":"DR"},{"family":"Plevak","given":"MF"},{"family":"Offord","given":"JR"},{"family":"Dispenzieri","given":"A"},{"family":"Katzmann","given":"JA"},{"family":"Melton","given":"LJ 3rd"}],"issued":{"date-parts":[[2006,3,30]]},"volume":"354","issue":"13","page":"1362-1369","DOI":"10.1056/NEJMoa054494","PMID":"16571879","URL":"https://doi.org/10.1056/NEJMoa054494"}}</w:instrText>
      </w:r>
      <w:r>
        <w:instrText xml:space="preserve">],"properties":{"formattedCitation":"[4]","plainCitation":"[4]","noteIndex":0},"schema":"https://github.com/citation-style-language/schema/raw/master/csl-citation.json"}</w:instrText>
      </w:r>
      <w:r>
        <w:fldChar w:fldCharType="separate"/>
      </w:r>
      <w:r>
        <w:t xml:space="preserve">[4]</w:t>
      </w:r>
      <w:r>
        <w:fldChar w:fldCharType="end"/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t>References</w:t>
      </w:r>
    </w:p>
    <w:p>
      <w:pPr>
        <w:spacing w:after="120" w:line="276" w:lineRule="auto"/>
      </w:pPr>
      <w:r>
        <w:fldChar w:fldCharType="begin"/>
      </w:r>
      <w:r>
        <w:instrText xml:space="preserve"> ADDIN ZOTERO_BIBL {"uncited":[],"omitted":[],"custom":[]} CSL_BIBLIOGRAPHY</w:instrText>
      </w:r>
      <w:r>
        <w:fldChar w:fldCharType="separate"/>
      </w:r>
      <w:r>
        <w:t xml:space="preserve">1. Blomberg and Frasca 2013. Age effects on mouse and human B cells. Immunol Res 57(1-3):354-360. doi:10.1007/s12026-013-8440-9; PMID:24203437.</w:t>
      </w:r>
      <w:r>
        <w:br/>
        <w:t xml:space="preserve">2. Frasca et al. 2016. The generation of memory B cells is maintained, but the antibody response is not, in the elderly after repeated influenza immunizations. Vaccine 34(25):2834-2840. doi:10.1016/j.vaccine.2016.04.023; PMID:27108193.</w:t>
      </w:r>
      <w:r>
        <w:br/>
        <w:t xml:space="preserve">3. Krištić et al. 2014. Glycans are a novel biomarker of chronological and biological ages. J Gerontol A Biol Sci Med Sci 69(7):779-789. doi:10.1093/gerona/glt190; PMID:24325898.</w:t>
      </w:r>
      <w:r>
        <w:br/>
        <w:t xml:space="preserve">4. Kyle et al. 2006. Prevalence of monoclonal gammopathy of undetermined significance. N Engl J Med 354(13):1362-1369. doi:10.1056/NEJMoa054494; PMID:16571879.</w:t>
      </w:r>
      <w:r>
        <w:fldChar w:fldCharType="end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Generated CitationTool Zotero-active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