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/>
          <w:b/>
          <w:color w:val="0B2545"/>
          <w:sz w:val="40"/>
        </w:rPr>
        <w:t>Aging and Immunoglobulins: Zotero-Active Draft</w:t>
      </w:r>
    </w:p>
    <w:p>
      <w:pPr>
        <w:spacing w:after="280"/>
      </w:pPr>
      <w:r>
        <w:rPr>
          <w:rFonts w:ascii="Calibri" w:hAnsi="Calibri"/>
          <w:i/>
          <w:color w:val="555555"/>
          <w:sz w:val="22"/>
        </w:rPr>
        <w:t>Fallback draft with visible Zotero placeholders</w:t>
      </w:r>
    </w:p>
    <w:p>
      <w:pPr>
        <w:pStyle w:val="Heading1"/>
      </w:pPr>
      <w:r>
        <w:t>Draft Introduction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Aging reshapes humoral immunity rather than simply lowering all antibody production. In mouse and human B cells, aging has been linked to reduced immunoglobulin class switching, lower activation-induced cytidine deaminase, and impaired affinity maturation, providing a mechanistic frame for weaker class-switched antibody responses </w:t>
      </w:r>
      <w:r>
        <w:rPr>
          <w:rFonts w:ascii="Calibri" w:hAnsi="Calibri"/>
          <w:sz w:val="22"/>
        </w:rPr>
        <w:t>[ZOTERO: Blomberg 2013]</w:t>
      </w:r>
      <w:r>
        <w:rPr>
          <w:rFonts w:ascii="Calibri" w:hAnsi="Calibri"/>
          <w:sz w:val="22"/>
        </w:rPr>
        <w:t>.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This defect is visible in vaccination studies. After repeated influenza immunizations, elderly adults can maintain memory B-cell generation while failing to maintain the antibody response, suggesting that immunoglobulin output and quality may diverge from memory-cell counts </w:t>
      </w:r>
      <w:r>
        <w:rPr>
          <w:rFonts w:ascii="Calibri" w:hAnsi="Calibri"/>
          <w:sz w:val="22"/>
        </w:rPr>
        <w:t>[ZOTERO: Frasca 2016]</w:t>
      </w:r>
      <w:r>
        <w:rPr>
          <w:rFonts w:ascii="Calibri" w:hAnsi="Calibri"/>
          <w:sz w:val="22"/>
        </w:rPr>
        <w:t>.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Immunoglobulins also carry age information in their structure and clonal distribution. IgG N-glycan profiles have been reported as biomarkers of chronological and biological age, linking antibody Fc biology to aging-associated inflammatory phenotypes </w:t>
      </w:r>
      <w:r>
        <w:rPr>
          <w:rFonts w:ascii="Calibri" w:hAnsi="Calibri"/>
          <w:sz w:val="22"/>
        </w:rPr>
        <w:t>[ZOTERO: Kristic 2014]</w:t>
      </w:r>
      <w:r>
        <w:rPr>
          <w:rFonts w:ascii="Calibri" w:hAnsi="Calibri"/>
          <w:sz w:val="22"/>
        </w:rPr>
        <w:t xml:space="preserve">. At the clonal end of the spectrum, monoclonal gammopathy of undetermined significance is defined by a circulating monoclonal immunoglobulin and becomes more prevalent with age </w:t>
      </w:r>
      <w:r>
        <w:rPr>
          <w:rFonts w:ascii="Calibri" w:hAnsi="Calibri"/>
          <w:sz w:val="22"/>
        </w:rPr>
        <w:t>[ZOTERO: Kyle 2006]</w:t>
      </w:r>
      <w:r>
        <w:rPr>
          <w:rFonts w:ascii="Calibri" w:hAnsi="Calibri"/>
          <w:sz w:val="22"/>
        </w:rPr>
        <w:t>.</w:t>
      </w:r>
    </w:p>
    <w:p>
      <w:pPr>
        <w:pStyle w:val="Heading1"/>
      </w:pPr>
      <w:r>
        <w:t>References</w:t>
      </w:r>
    </w:p>
    <w:p>
      <w:r>
        <w:rPr>
          <w:rFonts w:ascii="Calibri" w:hAnsi="Calibri"/>
          <w:i/>
          <w:sz w:val="21"/>
        </w:rPr>
        <w:t>[Fallback draft: replace each visible placeholder with Zotero Add/Edit Citation, then insert bibliography.]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>Generated CitationTool placeholder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