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Canopy</w:t>
      </w:r>
      <w:r>
        <w:t xml:space="preserve"> </w:t>
      </w:r>
      <w:r>
        <w:t xml:space="preserve">Atlas</w:t>
      </w:r>
      <w:r>
        <w:t xml:space="preserve"> </w:t>
      </w:r>
      <w:r>
        <w:t xml:space="preserve">pipeline</w:t>
      </w:r>
    </w:p>
    <w:p>
      <w:pPr>
        <w:pStyle w:val="Author"/>
      </w:pPr>
      <w:r>
        <w:t xml:space="preserve">Fabian</w:t>
      </w:r>
      <w:r>
        <w:t xml:space="preserve"> </w:t>
      </w:r>
      <w:r>
        <w:t xml:space="preserve">Fischer</w:t>
      </w:r>
      <w:r>
        <w:t xml:space="preserve"> </w:t>
      </w:r>
      <w:r>
        <w:t xml:space="preserve">et</w:t>
      </w:r>
      <w:r>
        <w:t xml:space="preserve"> </w:t>
      </w:r>
      <w:r>
        <w:t xml:space="preserve">al.</w:t>
      </w:r>
    </w:p>
    <w:p>
      <w:pPr>
        <w:pStyle w:val="Date"/>
      </w:pPr>
      <w:r>
        <w:t xml:space="preserve">2025-04-30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accronyms"/>
    <w:p>
      <w:pPr>
        <w:pStyle w:val="Heading1"/>
      </w:pPr>
      <w:r>
        <w:rPr>
          <w:rStyle w:val="SectionNumber"/>
        </w:rPr>
        <w:t xml:space="preserve">1</w:t>
      </w:r>
      <w:r>
        <w:tab/>
      </w:r>
      <w:r>
        <w:t xml:space="preserve">List of accronyms</w:t>
      </w:r>
    </w:p>
    <w:p>
      <w:pPr>
        <w:numPr>
          <w:ilvl w:val="0"/>
          <w:numId w:val="1001"/>
        </w:numPr>
        <w:pStyle w:val="Compact"/>
      </w:pPr>
      <w:r>
        <w:rPr>
          <w:bCs/>
          <w:b/>
        </w:rPr>
        <w:t xml:space="preserve">GCA</w:t>
      </w:r>
      <w:r>
        <w:t xml:space="preserve">: Global Canopy Atlas</w:t>
      </w:r>
    </w:p>
    <w:p>
      <w:pPr>
        <w:numPr>
          <w:ilvl w:val="0"/>
          <w:numId w:val="1001"/>
        </w:numPr>
        <w:pStyle w:val="Compact"/>
      </w:pPr>
      <w:r>
        <w:rPr>
          <w:bCs/>
          <w:b/>
        </w:rPr>
        <w:t xml:space="preserve">DTM</w:t>
      </w:r>
      <w:r>
        <w:t xml:space="preserve">: Digital Terrain Model</w:t>
      </w:r>
    </w:p>
    <w:p>
      <w:pPr>
        <w:numPr>
          <w:ilvl w:val="0"/>
          <w:numId w:val="1001"/>
        </w:numPr>
        <w:pStyle w:val="Compact"/>
      </w:pPr>
      <w:r>
        <w:rPr>
          <w:bCs/>
          <w:b/>
        </w:rPr>
        <w:t xml:space="preserve">DSM</w:t>
      </w:r>
      <w:r>
        <w:t xml:space="preserve">: Digital Surface Model</w:t>
      </w:r>
    </w:p>
    <w:p>
      <w:pPr>
        <w:numPr>
          <w:ilvl w:val="0"/>
          <w:numId w:val="1001"/>
        </w:numPr>
        <w:pStyle w:val="Compact"/>
      </w:pPr>
      <w:r>
        <w:rPr>
          <w:bCs/>
          <w:b/>
        </w:rPr>
        <w:t xml:space="preserve">CHM</w:t>
      </w:r>
      <w:r>
        <w:t xml:space="preserve">: Canopy Height Model</w:t>
      </w:r>
    </w:p>
    <w:p>
      <w:pPr>
        <w:numPr>
          <w:ilvl w:val="0"/>
          <w:numId w:val="1001"/>
        </w:numPr>
        <w:pStyle w:val="Compact"/>
      </w:pPr>
      <w:r>
        <w:rPr>
          <w:bCs/>
          <w:b/>
        </w:rPr>
        <w:t xml:space="preserve">ALS</w:t>
      </w:r>
      <w:r>
        <w:t xml:space="preserve">: Aerial Lidar Scanning</w:t>
      </w:r>
    </w:p>
    <w:p>
      <w:pPr>
        <w:numPr>
          <w:ilvl w:val="0"/>
          <w:numId w:val="1001"/>
        </w:numPr>
        <w:pStyle w:val="Compact"/>
      </w:pPr>
      <w:r>
        <w:rPr>
          <w:bCs/>
          <w:b/>
        </w:rPr>
        <w:t xml:space="preserve">CRS</w:t>
      </w:r>
      <w:r>
        <w:t xml:space="preserve">: Coordinate Reference System</w:t>
      </w:r>
    </w:p>
    <w:p>
      <w:pPr>
        <w:numPr>
          <w:ilvl w:val="0"/>
          <w:numId w:val="1001"/>
        </w:numPr>
        <w:pStyle w:val="Compact"/>
      </w:pPr>
      <w:r>
        <w:rPr>
          <w:bCs/>
          <w:b/>
        </w:rPr>
        <w:t xml:space="preserve">UTM</w:t>
      </w:r>
      <w:r>
        <w:t xml:space="preserve">: Universal Transverse Mercator</w:t>
      </w:r>
    </w:p>
    <w:p>
      <w:pPr>
        <w:numPr>
          <w:ilvl w:val="0"/>
          <w:numId w:val="1001"/>
        </w:numPr>
        <w:pStyle w:val="Compact"/>
      </w:pPr>
      <w:r>
        <w:rPr>
          <w:bCs/>
          <w:b/>
        </w:rPr>
        <w:t xml:space="preserve">TIN</w:t>
      </w:r>
      <w:r>
        <w:t xml:space="preserve">: Triangle Irregular Network</w:t>
      </w:r>
    </w:p>
    <w:p>
      <w:pPr>
        <w:numPr>
          <w:ilvl w:val="0"/>
          <w:numId w:val="1001"/>
        </w:numPr>
        <w:pStyle w:val="Compact"/>
      </w:pPr>
      <w:r>
        <w:rPr>
          <w:bCs/>
          <w:b/>
        </w:rPr>
        <w:t xml:space="preserve">MAAP</w:t>
      </w:r>
      <w:r>
        <w:t xml:space="preserve">: Multi-Mission Algorithm and Analysis Platform</w:t>
      </w:r>
    </w:p>
    <w:p>
      <w:pPr>
        <w:numPr>
          <w:ilvl w:val="0"/>
          <w:numId w:val="1001"/>
        </w:numPr>
        <w:pStyle w:val="Compact"/>
      </w:pPr>
      <w:r>
        <w:rPr>
          <w:bCs/>
          <w:b/>
        </w:rPr>
        <w:t xml:space="preserve">ESA</w:t>
      </w:r>
      <w:r>
        <w:t xml:space="preserve">: European Space Agency</w:t>
      </w:r>
    </w:p>
    <w:bookmarkEnd w:id="20"/>
    <w:bookmarkStart w:id="22" w:name="package-description"/>
    <w:p>
      <w:pPr>
        <w:pStyle w:val="Heading1"/>
      </w:pPr>
      <w:r>
        <w:rPr>
          <w:rStyle w:val="SectionNumber"/>
        </w:rPr>
        <w:t xml:space="preserve">2</w:t>
      </w:r>
      <w:r>
        <w:tab/>
      </w:r>
      <w:r>
        <w:t xml:space="preserve">Package description</w:t>
      </w:r>
    </w:p>
    <w:p>
      <w:pPr>
        <w:pStyle w:val="FirstParagraph"/>
      </w:pPr>
      <w:r>
        <w:t xml:space="preserve">The GCA pipeline is a tool used for the generation of Digital Terrain Model (DTM) and Canopy Height Model (CHM) from Aerial LiDAR Scanning (ALS) data.</w:t>
      </w:r>
    </w:p>
    <w:p>
      <w:pPr>
        <w:pStyle w:val="BodyText"/>
      </w:pPr>
      <w:r>
        <w:t xml:space="preserve">The package source code can be found at:</w:t>
      </w:r>
      <w:r>
        <w:t xml:space="preserve"> </w:t>
      </w:r>
      <w:hyperlink r:id="rId21">
        <w:r>
          <w:rPr>
            <w:rStyle w:val="Hyperlink"/>
          </w:rPr>
          <w:t xml:space="preserve">https://github.com/fischer-fjd/GCA/tree/GCA_open_source</w:t>
        </w:r>
      </w:hyperlink>
    </w:p>
    <w:bookmarkEnd w:id="22"/>
    <w:bookmarkStart w:id="26" w:name="general-workflow"/>
    <w:p>
      <w:pPr>
        <w:pStyle w:val="Heading1"/>
      </w:pPr>
      <w:r>
        <w:rPr>
          <w:rStyle w:val="SectionNumber"/>
        </w:rPr>
        <w:t xml:space="preserve">3</w:t>
      </w:r>
      <w:r>
        <w:tab/>
      </w:r>
      <w:r>
        <w:t xml:space="preserve">General workflow</w:t>
      </w:r>
    </w:p>
    <w:p>
      <w:pPr>
        <w:numPr>
          <w:ilvl w:val="0"/>
          <w:numId w:val="1002"/>
        </w:numPr>
        <w:pStyle w:val="Compact"/>
      </w:pPr>
      <w:r>
        <w:rPr>
          <w:bCs/>
          <w:b/>
        </w:rPr>
        <w:t xml:space="preserve">Diagram</w:t>
      </w:r>
    </w:p>
    <w:p>
      <w:pPr>
        <w:pStyle w:val="FirstParagraph"/>
      </w:pPr>
      <w:r>
        <w:t xml:space="preserve">The following figure shows a diagram of the pipeline workflow.</w:t>
      </w:r>
    </w:p>
    <w:p>
      <w:pPr>
        <w:pStyle w:val="CaptionedFigure"/>
      </w:pPr>
      <w:r>
        <w:drawing>
          <wp:inline>
            <wp:extent cx="5334000" cy="3507719"/>
            <wp:effectExtent b="0" l="0" r="0" t="0"/>
            <wp:docPr descr="Diagram of the GCA pipeline workflow" title="" id="24" name="Picture"/>
            <a:graphic>
              <a:graphicData uri="http://schemas.openxmlformats.org/drawingml/2006/picture">
                <pic:pic>
                  <pic:nvPicPr>
                    <pic:cNvPr descr="resources/workflow_diagram.png" id="25" name="Picture"/>
                    <pic:cNvPicPr>
                      <a:picLocks noChangeArrowheads="1" noChangeAspect="1"/>
                    </pic:cNvPicPr>
                  </pic:nvPicPr>
                  <pic:blipFill>
                    <a:blip r:embed="rId23"/>
                    <a:stretch>
                      <a:fillRect/>
                    </a:stretch>
                  </pic:blipFill>
                  <pic:spPr bwMode="auto">
                    <a:xfrm>
                      <a:off x="0" y="0"/>
                      <a:ext cx="5334000" cy="3507719"/>
                    </a:xfrm>
                    <a:prstGeom prst="rect">
                      <a:avLst/>
                    </a:prstGeom>
                    <a:noFill/>
                    <a:ln w="9525">
                      <a:noFill/>
                      <a:headEnd/>
                      <a:tailEnd/>
                    </a:ln>
                  </pic:spPr>
                </pic:pic>
              </a:graphicData>
            </a:graphic>
          </wp:inline>
        </w:drawing>
      </w:r>
    </w:p>
    <w:p>
      <w:pPr>
        <w:pStyle w:val="ImageCaption"/>
      </w:pPr>
      <w:r>
        <w:t xml:space="preserve">Diagram of the GCA pipeline workflow</w:t>
      </w:r>
    </w:p>
    <w:p>
      <w:pPr>
        <w:pStyle w:val="BodyText"/>
      </w:pPr>
      <w:r>
        <w:t xml:space="preserve">In this figure, the blue items represent data being processed by each step, the orange items represent the processing steps of the pipeline and the green items represent the final output products of the pipeline.</w:t>
      </w:r>
    </w:p>
    <w:p>
      <w:pPr>
        <w:pStyle w:val="BodyText"/>
      </w:pPr>
      <w:r>
        <w:t xml:space="preserve">A detailed description of the pipeline’s workflow is given in the following section.</w:t>
      </w:r>
    </w:p>
    <w:p>
      <w:pPr>
        <w:numPr>
          <w:ilvl w:val="0"/>
          <w:numId w:val="1003"/>
        </w:numPr>
      </w:pPr>
      <w:r>
        <w:rPr>
          <w:bCs/>
          <w:b/>
        </w:rPr>
        <w:t xml:space="preserve">Description</w:t>
      </w:r>
    </w:p>
    <w:p>
      <w:pPr>
        <w:numPr>
          <w:ilvl w:val="0"/>
          <w:numId w:val="1000"/>
        </w:numPr>
      </w:pPr>
      <w:r>
        <w:t xml:space="preserve">The pipeline main processing steps are:</w:t>
      </w:r>
    </w:p>
    <w:p>
      <w:pPr>
        <w:numPr>
          <w:ilvl w:val="1"/>
          <w:numId w:val="1004"/>
        </w:numPr>
      </w:pPr>
      <w:r>
        <w:t xml:space="preserve">Clean input data: perform an initial clean of the data</w:t>
      </w:r>
    </w:p>
    <w:p>
      <w:pPr>
        <w:numPr>
          <w:ilvl w:val="1"/>
          <w:numId w:val="1004"/>
        </w:numPr>
      </w:pPr>
      <w:r>
        <w:t xml:space="preserve">Retile .las/.laz files to the specified tile size</w:t>
      </w:r>
    </w:p>
    <w:p>
      <w:pPr>
        <w:numPr>
          <w:ilvl w:val="1"/>
          <w:numId w:val="1004"/>
        </w:numPr>
      </w:pPr>
      <w:r>
        <w:t xml:space="preserve">Generate output from untreated point cloud (as .tif files for point classification and corresponding DTM via</w:t>
      </w:r>
      <w:r>
        <w:t xml:space="preserve"> </w:t>
      </w:r>
      <w:r>
        <w:t xml:space="preserve">‘</w:t>
      </w:r>
      <w:r>
        <w:t xml:space="preserve">lasgrid</w:t>
      </w:r>
      <w:r>
        <w:t xml:space="preserve">’</w:t>
      </w:r>
      <w:r>
        <w:t xml:space="preserve"> </w:t>
      </w:r>
      <w:r>
        <w:t xml:space="preserve">and</w:t>
      </w:r>
      <w:r>
        <w:t xml:space="preserve"> </w:t>
      </w:r>
      <w:r>
        <w:t xml:space="preserve">‘</w:t>
      </w:r>
      <w:r>
        <w:t xml:space="preserve">las2dem</w:t>
      </w:r>
      <w:r>
        <w:t xml:space="preserve">’</w:t>
      </w:r>
      <w:r>
        <w:t xml:space="preserve"> </w:t>
      </w:r>
      <w:r>
        <w:t xml:space="preserve">functions, upon information availability)</w:t>
      </w:r>
    </w:p>
    <w:p>
      <w:pPr>
        <w:numPr>
          <w:ilvl w:val="1"/>
          <w:numId w:val="1004"/>
        </w:numPr>
      </w:pPr>
      <w:r>
        <w:t xml:space="preserve">Read CRS and then delete pointcloud user information</w:t>
      </w:r>
    </w:p>
    <w:p>
      <w:pPr>
        <w:numPr>
          <w:ilvl w:val="1"/>
          <w:numId w:val="1004"/>
        </w:numPr>
      </w:pPr>
      <w:r>
        <w:t xml:space="preserve">Remove duplicate (xyz) points</w:t>
      </w:r>
    </w:p>
    <w:p>
      <w:pPr>
        <w:numPr>
          <w:ilvl w:val="1"/>
          <w:numId w:val="1004"/>
        </w:numPr>
      </w:pPr>
      <w:r>
        <w:t xml:space="preserve">Remove noise points</w:t>
      </w:r>
    </w:p>
    <w:p>
      <w:pPr>
        <w:numPr>
          <w:ilvl w:val="1"/>
          <w:numId w:val="1004"/>
        </w:numPr>
      </w:pPr>
      <w:r>
        <w:t xml:space="preserve">Classify (or reclassifiy) ground points;</w:t>
      </w:r>
    </w:p>
    <w:p>
      <w:pPr>
        <w:numPr>
          <w:ilvl w:val="1"/>
          <w:numId w:val="1004"/>
        </w:numPr>
      </w:pPr>
      <w:r>
        <w:t xml:space="preserve">Crop canopy heights above a user-defined</w:t>
      </w:r>
      <w:r>
        <w:t xml:space="preserve"> </w:t>
      </w:r>
      <w:r>
        <w:t xml:space="preserve">‘</w:t>
      </w:r>
      <w:r>
        <w:t xml:space="preserve">maximum height</w:t>
      </w:r>
      <w:r>
        <w:t xml:space="preserve">’</w:t>
      </w:r>
      <w:r>
        <w:t xml:space="preserve"> </w:t>
      </w:r>
      <w:r>
        <w:t xml:space="preserve">(via</w:t>
      </w:r>
      <w:r>
        <w:t xml:space="preserve"> </w:t>
      </w:r>
      <w:r>
        <w:t xml:space="preserve">‘</w:t>
      </w:r>
      <w:r>
        <w:t xml:space="preserve">lasheight</w:t>
      </w:r>
      <w:r>
        <w:t xml:space="preserve">’</w:t>
      </w:r>
      <w:r>
        <w:t xml:space="preserve"> </w:t>
      </w:r>
      <w:r>
        <w:t xml:space="preserve">function); that</w:t>
      </w:r>
      <w:r>
        <w:t xml:space="preserve"> </w:t>
      </w:r>
      <w:r>
        <w:t xml:space="preserve">‘</w:t>
      </w:r>
      <w:r>
        <w:t xml:space="preserve">maximum height</w:t>
      </w:r>
      <w:r>
        <w:t xml:space="preserve">’</w:t>
      </w:r>
      <w:r>
        <w:t xml:space="preserve"> </w:t>
      </w:r>
      <w:r>
        <w:t xml:space="preserve">is used as a very coarse point cloud filter, assuming that trees never reach such height (e.g., 125 m here);</w:t>
      </w:r>
    </w:p>
    <w:p>
      <w:pPr>
        <w:numPr>
          <w:ilvl w:val="1"/>
          <w:numId w:val="1004"/>
        </w:numPr>
      </w:pPr>
      <w:r>
        <w:t xml:space="preserve">gets pulse density and scan angle (as .tif files via</w:t>
      </w:r>
      <w:r>
        <w:t xml:space="preserve"> </w:t>
      </w:r>
      <w:r>
        <w:t xml:space="preserve">‘</w:t>
      </w:r>
      <w:r>
        <w:t xml:space="preserve">lasgrid</w:t>
      </w:r>
      <w:r>
        <w:t xml:space="preserve">’</w:t>
      </w:r>
      <w:r>
        <w:t xml:space="preserve"> </w:t>
      </w:r>
      <w:r>
        <w:t xml:space="preserve">function);</w:t>
      </w:r>
    </w:p>
    <w:p>
      <w:pPr>
        <w:numPr>
          <w:ilvl w:val="1"/>
          <w:numId w:val="1004"/>
        </w:numPr>
      </w:pPr>
      <w:r>
        <w:t xml:space="preserve">creates DTMs (via</w:t>
      </w:r>
      <w:r>
        <w:t xml:space="preserve"> </w:t>
      </w:r>
      <w:r>
        <w:t xml:space="preserve">‘</w:t>
      </w:r>
      <w:r>
        <w:t xml:space="preserve">las2dem</w:t>
      </w:r>
      <w:r>
        <w:t xml:space="preserve">’</w:t>
      </w:r>
      <w:r>
        <w:t xml:space="preserve"> </w:t>
      </w:r>
      <w:r>
        <w:t xml:space="preserve">and/or</w:t>
      </w:r>
      <w:r>
        <w:t xml:space="preserve"> </w:t>
      </w:r>
      <w:r>
        <w:t xml:space="preserve">‘</w:t>
      </w:r>
      <w:r>
        <w:t xml:space="preserve">blast2dem</w:t>
      </w:r>
      <w:r>
        <w:t xml:space="preserve">’</w:t>
      </w:r>
      <w:r>
        <w:t xml:space="preserve"> </w:t>
      </w:r>
      <w:r>
        <w:t xml:space="preserve">functions);</w:t>
      </w:r>
    </w:p>
    <w:p>
      <w:pPr>
        <w:numPr>
          <w:ilvl w:val="1"/>
          <w:numId w:val="1004"/>
        </w:numPr>
      </w:pPr>
      <w:r>
        <w:t xml:space="preserve">creates DSMs (via</w:t>
      </w:r>
      <w:r>
        <w:t xml:space="preserve"> </w:t>
      </w:r>
      <w:r>
        <w:t xml:space="preserve">‘</w:t>
      </w:r>
      <w:r>
        <w:t xml:space="preserve">las2dem</w:t>
      </w:r>
      <w:r>
        <w:t xml:space="preserve">’</w:t>
      </w:r>
      <w:r>
        <w:t xml:space="preserve"> </w:t>
      </w:r>
      <w:r>
        <w:t xml:space="preserve">and/or</w:t>
      </w:r>
      <w:r>
        <w:t xml:space="preserve"> </w:t>
      </w:r>
      <w:r>
        <w:t xml:space="preserve">‘</w:t>
      </w:r>
      <w:r>
        <w:t xml:space="preserve">blast2dem</w:t>
      </w:r>
      <w:r>
        <w:t xml:space="preserve">’</w:t>
      </w:r>
      <w:r>
        <w:t xml:space="preserve"> </w:t>
      </w:r>
      <w:r>
        <w:t xml:space="preserve">functions);</w:t>
      </w:r>
    </w:p>
    <w:p>
      <w:pPr>
        <w:numPr>
          <w:ilvl w:val="1"/>
          <w:numId w:val="1004"/>
        </w:numPr>
      </w:pPr>
      <w:r>
        <w:t xml:space="preserve">creates thinned versions of DSMs (via</w:t>
      </w:r>
      <w:r>
        <w:t xml:space="preserve"> </w:t>
      </w:r>
      <w:r>
        <w:t xml:space="preserve">‘</w:t>
      </w:r>
      <w:r>
        <w:t xml:space="preserve">las2dem</w:t>
      </w:r>
      <w:r>
        <w:t xml:space="preserve">’</w:t>
      </w:r>
      <w:r>
        <w:t xml:space="preserve"> </w:t>
      </w:r>
      <w:r>
        <w:t xml:space="preserve">and/or</w:t>
      </w:r>
      <w:r>
        <w:t xml:space="preserve"> </w:t>
      </w:r>
      <w:r>
        <w:t xml:space="preserve">‘</w:t>
      </w:r>
      <w:r>
        <w:t xml:space="preserve">blast2dem</w:t>
      </w:r>
      <w:r>
        <w:t xml:space="preserve">’</w:t>
      </w:r>
      <w:r>
        <w:t xml:space="preserve"> </w:t>
      </w:r>
      <w:r>
        <w:t xml:space="preserve">functions);</w:t>
      </w:r>
    </w:p>
    <w:p>
      <w:pPr>
        <w:numPr>
          <w:ilvl w:val="1"/>
          <w:numId w:val="1004"/>
        </w:numPr>
      </w:pPr>
      <w:r>
        <w:t xml:space="preserve">creates normalized point clouds (via</w:t>
      </w:r>
      <w:r>
        <w:t xml:space="preserve"> </w:t>
      </w:r>
      <w:r>
        <w:t xml:space="preserve">‘</w:t>
      </w:r>
      <w:r>
        <w:t xml:space="preserve">lasheight</w:t>
      </w:r>
      <w:r>
        <w:t xml:space="preserve">’</w:t>
      </w:r>
      <w:r>
        <w:t xml:space="preserve"> </w:t>
      </w:r>
      <w:r>
        <w:t xml:space="preserve">function);</w:t>
      </w:r>
    </w:p>
    <w:p>
      <w:pPr>
        <w:numPr>
          <w:ilvl w:val="1"/>
          <w:numId w:val="1004"/>
        </w:numPr>
      </w:pPr>
      <w:r>
        <w:t xml:space="preserve">estimates laser penetration (via</w:t>
      </w:r>
      <w:r>
        <w:t xml:space="preserve"> </w:t>
      </w:r>
      <w:r>
        <w:t xml:space="preserve">‘</w:t>
      </w:r>
      <w:r>
        <w:t xml:space="preserve">lasgrid</w:t>
      </w:r>
      <w:r>
        <w:t xml:space="preserve">’</w:t>
      </w:r>
      <w:r>
        <w:t xml:space="preserve"> </w:t>
      </w:r>
      <w:r>
        <w:t xml:space="preserve">function)</w:t>
      </w:r>
    </w:p>
    <w:p>
      <w:pPr>
        <w:numPr>
          <w:ilvl w:val="1"/>
          <w:numId w:val="1004"/>
        </w:numPr>
      </w:pPr>
      <w:r>
        <w:t xml:space="preserve">creates CHMs (via</w:t>
      </w:r>
      <w:r>
        <w:t xml:space="preserve"> </w:t>
      </w:r>
      <w:r>
        <w:t xml:space="preserve">‘</w:t>
      </w:r>
      <w:r>
        <w:t xml:space="preserve">las2dem</w:t>
      </w:r>
      <w:r>
        <w:t xml:space="preserve">’</w:t>
      </w:r>
      <w:r>
        <w:t xml:space="preserve">,</w:t>
      </w:r>
      <w:r>
        <w:t xml:space="preserve"> </w:t>
      </w:r>
      <w:r>
        <w:t xml:space="preserve">‘</w:t>
      </w:r>
      <w:r>
        <w:t xml:space="preserve">lassort</w:t>
      </w:r>
      <w:r>
        <w:t xml:space="preserve">’</w:t>
      </w:r>
      <w:r>
        <w:t xml:space="preserve">,</w:t>
      </w:r>
      <w:r>
        <w:t xml:space="preserve"> </w:t>
      </w:r>
      <w:r>
        <w:t xml:space="preserve">‘</w:t>
      </w:r>
      <w:r>
        <w:t xml:space="preserve">lasoptimize</w:t>
      </w:r>
      <w:r>
        <w:t xml:space="preserve">’</w:t>
      </w:r>
      <w:r>
        <w:t xml:space="preserve"> </w:t>
      </w:r>
      <w:r>
        <w:t xml:space="preserve">and/or</w:t>
      </w:r>
      <w:r>
        <w:t xml:space="preserve"> </w:t>
      </w:r>
      <w:r>
        <w:t xml:space="preserve">‘</w:t>
      </w:r>
      <w:r>
        <w:t xml:space="preserve">lasclip</w:t>
      </w:r>
      <w:r>
        <w:t xml:space="preserve">’</w:t>
      </w:r>
      <w:r>
        <w:t xml:space="preserve"> </w:t>
      </w:r>
      <w:r>
        <w:t xml:space="preserve">functions);</w:t>
      </w:r>
    </w:p>
    <w:p>
      <w:pPr>
        <w:numPr>
          <w:ilvl w:val="1"/>
          <w:numId w:val="1004"/>
        </w:numPr>
      </w:pPr>
      <w:r>
        <w:t xml:space="preserve">computes canopy summary statistics from point clouds;</w:t>
      </w:r>
    </w:p>
    <w:p>
      <w:pPr>
        <w:numPr>
          <w:ilvl w:val="1"/>
          <w:numId w:val="1004"/>
        </w:numPr>
      </w:pPr>
      <w:r>
        <w:t xml:space="preserve">produce synthesis files both by tile and for all tiles (as .csv files using metadata);</w:t>
      </w:r>
    </w:p>
    <w:bookmarkEnd w:id="26"/>
    <w:bookmarkStart w:id="34" w:name="input-data"/>
    <w:p>
      <w:pPr>
        <w:pStyle w:val="Heading1"/>
      </w:pPr>
      <w:r>
        <w:rPr>
          <w:rStyle w:val="SectionNumber"/>
        </w:rPr>
        <w:t xml:space="preserve">4</w:t>
      </w:r>
      <w:r>
        <w:tab/>
      </w:r>
      <w:r>
        <w:t xml:space="preserve">Input data</w:t>
      </w:r>
    </w:p>
    <w:p>
      <w:pPr>
        <w:pStyle w:val="FirstParagraph"/>
      </w:pPr>
      <w:r>
        <w:t xml:space="preserve">The pipeline takes two items as input data: the set of input pointcloud files and a metadata file with information about the acquisiton data. Both are expalined in detail in the following sections.</w:t>
      </w:r>
    </w:p>
    <w:p>
      <w:pPr>
        <w:numPr>
          <w:ilvl w:val="0"/>
          <w:numId w:val="1005"/>
        </w:numPr>
        <w:pStyle w:val="Compact"/>
      </w:pPr>
      <w:r>
        <w:rPr>
          <w:bCs/>
          <w:b/>
        </w:rPr>
        <w:t xml:space="preserve">Input pointcloud files</w:t>
      </w:r>
    </w:p>
    <w:p>
      <w:pPr>
        <w:pStyle w:val="FirstParagraph"/>
      </w:pPr>
      <w:r>
        <w:t xml:space="preserve">The input pointcloud data is provided in the form of a folder containing a set of pointcloud files, in format LAS (.las) or its compressed equivalent LAZ (.laz). Normally each pointcloud file corresponds to a tile of the scanned landscape. All tiles must have the same Coordinate Reference System (CRS), which should be UTM compatible.</w:t>
      </w:r>
    </w:p>
    <w:p>
      <w:pPr>
        <w:pStyle w:val="CaptionedFigure"/>
      </w:pPr>
      <w:r>
        <w:drawing>
          <wp:inline>
            <wp:extent cx="1333500" cy="1325113"/>
            <wp:effectExtent b="0" l="0" r="0" t="0"/>
            <wp:docPr descr="Top view of an example ALS data tile" title="" id="28" name="Picture"/>
            <a:graphic>
              <a:graphicData uri="http://schemas.openxmlformats.org/drawingml/2006/picture">
                <pic:pic>
                  <pic:nvPicPr>
                    <pic:cNvPr descr="resources/lidar_tile.png" id="29" name="Picture"/>
                    <pic:cNvPicPr>
                      <a:picLocks noChangeArrowheads="1" noChangeAspect="1"/>
                    </pic:cNvPicPr>
                  </pic:nvPicPr>
                  <pic:blipFill>
                    <a:blip r:embed="rId27"/>
                    <a:stretch>
                      <a:fillRect/>
                    </a:stretch>
                  </pic:blipFill>
                  <pic:spPr bwMode="auto">
                    <a:xfrm>
                      <a:off x="0" y="0"/>
                      <a:ext cx="1333500" cy="1325113"/>
                    </a:xfrm>
                    <a:prstGeom prst="rect">
                      <a:avLst/>
                    </a:prstGeom>
                    <a:noFill/>
                    <a:ln w="9525">
                      <a:noFill/>
                      <a:headEnd/>
                      <a:tailEnd/>
                    </a:ln>
                  </pic:spPr>
                </pic:pic>
              </a:graphicData>
            </a:graphic>
          </wp:inline>
        </w:drawing>
      </w:r>
    </w:p>
    <w:p>
      <w:pPr>
        <w:pStyle w:val="ImageCaption"/>
      </w:pPr>
      <w:r>
        <w:t xml:space="preserve">Top view of an example ALS data tile</w:t>
      </w:r>
    </w:p>
    <w:p>
      <w:pPr>
        <w:pStyle w:val="CaptionedFigure"/>
      </w:pPr>
      <w:r>
        <w:drawing>
          <wp:inline>
            <wp:extent cx="1333500" cy="639013"/>
            <wp:effectExtent b="0" l="0" r="0" t="0"/>
            <wp:docPr descr="Side view of an example ALS data tile" title="" id="31" name="Picture"/>
            <a:graphic>
              <a:graphicData uri="http://schemas.openxmlformats.org/drawingml/2006/picture">
                <pic:pic>
                  <pic:nvPicPr>
                    <pic:cNvPr descr="resources/lidar_tile_side.png" id="32" name="Picture"/>
                    <pic:cNvPicPr>
                      <a:picLocks noChangeArrowheads="1" noChangeAspect="1"/>
                    </pic:cNvPicPr>
                  </pic:nvPicPr>
                  <pic:blipFill>
                    <a:blip r:embed="rId30"/>
                    <a:stretch>
                      <a:fillRect/>
                    </a:stretch>
                  </pic:blipFill>
                  <pic:spPr bwMode="auto">
                    <a:xfrm>
                      <a:off x="0" y="0"/>
                      <a:ext cx="1333500" cy="639013"/>
                    </a:xfrm>
                    <a:prstGeom prst="rect">
                      <a:avLst/>
                    </a:prstGeom>
                    <a:noFill/>
                    <a:ln w="9525">
                      <a:noFill/>
                      <a:headEnd/>
                      <a:tailEnd/>
                    </a:ln>
                  </pic:spPr>
                </pic:pic>
              </a:graphicData>
            </a:graphic>
          </wp:inline>
        </w:drawing>
      </w:r>
    </w:p>
    <w:p>
      <w:pPr>
        <w:pStyle w:val="ImageCaption"/>
      </w:pPr>
      <w:r>
        <w:t xml:space="preserve">Side view of an example ALS data tile</w:t>
      </w:r>
    </w:p>
    <w:p>
      <w:pPr>
        <w:numPr>
          <w:ilvl w:val="0"/>
          <w:numId w:val="1006"/>
        </w:numPr>
        <w:pStyle w:val="Compact"/>
      </w:pPr>
      <w:r>
        <w:rPr>
          <w:bCs/>
          <w:b/>
        </w:rPr>
        <w:t xml:space="preserve">Aquisition metadata file</w:t>
      </w:r>
    </w:p>
    <w:p>
      <w:pPr>
        <w:pStyle w:val="FirstParagraph"/>
      </w:pPr>
      <w:r>
        <w:t xml:space="preserve">A metadata file should be provided with the data in the same folder. This file shall contain: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General information</w:t>
            </w:r>
          </w:p>
        </w:tc>
        <w:tc>
          <w:tcPr/>
          <w:p>
            <w:pPr>
              <w:pStyle w:val="Compact"/>
            </w:pPr>
          </w:p>
        </w:tc>
      </w:tr>
      <w:tr>
        <w:tc>
          <w:tcPr/>
          <w:p>
            <w:pPr>
              <w:pStyle w:val="Compact"/>
              <w:jc w:val="left"/>
            </w:pPr>
            <w:r>
              <w:t xml:space="preserve">Site name</w:t>
            </w:r>
          </w:p>
        </w:tc>
        <w:tc>
          <w:tcPr/>
          <w:p>
            <w:pPr>
              <w:pStyle w:val="Compact"/>
              <w:jc w:val="left"/>
            </w:pPr>
            <w:r>
              <w:t xml:space="preserve">Nouragues</w:t>
            </w:r>
          </w:p>
        </w:tc>
      </w:tr>
      <w:tr>
        <w:tc>
          <w:tcPr/>
          <w:p>
            <w:pPr>
              <w:pStyle w:val="Compact"/>
              <w:jc w:val="left"/>
            </w:pPr>
            <w:r>
              <w:t xml:space="preserve">Acquisition date</w:t>
            </w:r>
          </w:p>
        </w:tc>
        <w:tc>
          <w:tcPr/>
          <w:p>
            <w:pPr>
              <w:pStyle w:val="Compact"/>
              <w:jc w:val="left"/>
            </w:pPr>
            <w:r>
              <w:t xml:space="preserve">15/11/2022</w:t>
            </w:r>
          </w:p>
        </w:tc>
      </w:tr>
      <w:tr>
        <w:tc>
          <w:tcPr/>
          <w:p>
            <w:pPr>
              <w:pStyle w:val="Compact"/>
              <w:jc w:val="left"/>
            </w:pPr>
            <w:r>
              <w:t xml:space="preserve">Covered area</w:t>
            </w:r>
          </w:p>
        </w:tc>
        <w:tc>
          <w:tcPr/>
          <w:p>
            <w:pPr>
              <w:pStyle w:val="Compact"/>
              <w:jc w:val="left"/>
            </w:pPr>
            <w:r>
              <w:t xml:space="preserve">32 km2</w:t>
            </w:r>
          </w:p>
        </w:tc>
      </w:tr>
      <w:tr>
        <w:tc>
          <w:tcPr/>
          <w:p>
            <w:pPr>
              <w:pStyle w:val="Compact"/>
              <w:jc w:val="left"/>
            </w:pPr>
            <w:r>
              <w:t xml:space="preserve">Pulse density</w:t>
            </w:r>
          </w:p>
        </w:tc>
        <w:tc>
          <w:tcPr/>
          <w:p>
            <w:pPr>
              <w:pStyle w:val="Compact"/>
              <w:jc w:val="left"/>
            </w:pPr>
            <w:r>
              <w:t xml:space="preserve">61.2 m-2</w:t>
            </w:r>
          </w:p>
        </w:tc>
      </w:tr>
      <w:tr>
        <w:tc>
          <w:tcPr/>
          <w:p>
            <w:pPr>
              <w:pStyle w:val="Compact"/>
              <w:jc w:val="left"/>
            </w:pPr>
            <w:r>
              <w:t xml:space="preserve">Point density</w:t>
            </w:r>
          </w:p>
        </w:tc>
        <w:tc>
          <w:tcPr/>
          <w:p>
            <w:pPr>
              <w:pStyle w:val="Compact"/>
              <w:jc w:val="left"/>
            </w:pPr>
            <w:r>
              <w:t xml:space="preserve">133.8 m-2</w:t>
            </w:r>
          </w:p>
        </w:tc>
      </w:tr>
      <w:tr>
        <w:tc>
          <w:tcPr/>
          <w:p>
            <w:pPr>
              <w:pStyle w:val="Compact"/>
              <w:jc w:val="left"/>
            </w:pPr>
            <w:r>
              <w:t xml:space="preserve">Laser type</w:t>
            </w:r>
          </w:p>
        </w:tc>
        <w:tc>
          <w:tcPr/>
          <w:p>
            <w:pPr>
              <w:pStyle w:val="Compact"/>
              <w:jc w:val="left"/>
            </w:pPr>
            <w:r>
              <w:t xml:space="preserve">VQ 780II RIEGL</w:t>
            </w:r>
          </w:p>
        </w:tc>
      </w:tr>
      <w:tr>
        <w:tc>
          <w:tcPr/>
          <w:p>
            <w:pPr>
              <w:pStyle w:val="Compact"/>
              <w:jc w:val="left"/>
            </w:pPr>
            <w:r>
              <w:t xml:space="preserve">Wavelength</w:t>
            </w:r>
          </w:p>
        </w:tc>
        <w:tc>
          <w:tcPr/>
          <w:p>
            <w:pPr>
              <w:pStyle w:val="Compact"/>
              <w:jc w:val="left"/>
            </w:pPr>
            <w:r>
              <w:t xml:space="preserve">1064 nm</w:t>
            </w:r>
          </w:p>
        </w:tc>
      </w:tr>
      <w:tr>
        <w:tc>
          <w:tcPr/>
          <w:p>
            <w:pPr>
              <w:pStyle w:val="Compact"/>
              <w:jc w:val="left"/>
            </w:pPr>
            <w:r>
              <w:t xml:space="preserve">Beam divergence</w:t>
            </w:r>
          </w:p>
        </w:tc>
        <w:tc>
          <w:tcPr/>
          <w:p>
            <w:pPr>
              <w:pStyle w:val="Compact"/>
              <w:jc w:val="left"/>
            </w:pPr>
            <w:r>
              <w:t xml:space="preserve">&lt; 0.25 mrad (1/e2)</w:t>
            </w:r>
          </w:p>
        </w:tc>
      </w:tr>
      <w:tr>
        <w:tc>
          <w:tcPr/>
          <w:p>
            <w:pPr>
              <w:pStyle w:val="Compact"/>
              <w:jc w:val="left"/>
            </w:pPr>
            <w:r>
              <w:t xml:space="preserve">Vehicle</w:t>
            </w:r>
          </w:p>
        </w:tc>
        <w:tc>
          <w:tcPr/>
          <w:p>
            <w:pPr>
              <w:pStyle w:val="Compact"/>
              <w:jc w:val="left"/>
            </w:pPr>
            <w:r>
              <w:t xml:space="preserve">Airplane BN2</w:t>
            </w:r>
          </w:p>
        </w:tc>
      </w:tr>
      <w:tr>
        <w:tc>
          <w:tcPr/>
          <w:p>
            <w:pPr>
              <w:pStyle w:val="Compact"/>
              <w:jc w:val="left"/>
            </w:pPr>
            <w:r>
              <w:t xml:space="preserve">Operator</w:t>
            </w:r>
          </w:p>
        </w:tc>
        <w:tc>
          <w:tcPr/>
          <w:p>
            <w:pPr>
              <w:pStyle w:val="Compact"/>
              <w:jc w:val="left"/>
            </w:pPr>
            <w:r>
              <w:t xml:space="preserve">Altoa</w:t>
            </w: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Point cloud data</w:t>
            </w:r>
          </w:p>
        </w:tc>
        <w:tc>
          <w:tcPr/>
          <w:p>
            <w:pPr>
              <w:pStyle w:val="Compact"/>
            </w:pPr>
          </w:p>
        </w:tc>
      </w:tr>
      <w:tr>
        <w:tc>
          <w:tcPr/>
          <w:p>
            <w:pPr>
              <w:pStyle w:val="Compact"/>
              <w:jc w:val="left"/>
            </w:pPr>
            <w:r>
              <w:t xml:space="preserve">Data format</w:t>
            </w:r>
          </w:p>
        </w:tc>
        <w:tc>
          <w:tcPr/>
          <w:p>
            <w:pPr>
              <w:pStyle w:val="Compact"/>
              <w:jc w:val="left"/>
            </w:pPr>
            <w:r>
              <w:t xml:space="preserve">Las 1.4 (.laz)</w:t>
            </w:r>
          </w:p>
        </w:tc>
      </w:tr>
      <w:tr>
        <w:tc>
          <w:tcPr/>
          <w:p>
            <w:pPr>
              <w:pStyle w:val="Compact"/>
              <w:jc w:val="left"/>
            </w:pPr>
            <w:r>
              <w:t xml:space="preserve">Tile number</w:t>
            </w:r>
          </w:p>
        </w:tc>
        <w:tc>
          <w:tcPr/>
          <w:p>
            <w:pPr>
              <w:pStyle w:val="Compact"/>
              <w:jc w:val="left"/>
            </w:pPr>
            <w:r>
              <w:t xml:space="preserve">128</w:t>
            </w:r>
          </w:p>
        </w:tc>
      </w:tr>
      <w:tr>
        <w:tc>
          <w:tcPr/>
          <w:p>
            <w:pPr>
              <w:pStyle w:val="Compact"/>
              <w:jc w:val="left"/>
            </w:pPr>
            <w:r>
              <w:t xml:space="preserve">Tile size</w:t>
            </w:r>
          </w:p>
        </w:tc>
        <w:tc>
          <w:tcPr/>
          <w:p>
            <w:pPr>
              <w:pStyle w:val="Compact"/>
              <w:jc w:val="left"/>
            </w:pPr>
            <w:r>
              <w:t xml:space="preserve">500 × 500 m</w:t>
            </w: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Acquisition parameters</w:t>
            </w:r>
          </w:p>
        </w:tc>
        <w:tc>
          <w:tcPr/>
          <w:p>
            <w:pPr>
              <w:pStyle w:val="Compact"/>
            </w:pPr>
          </w:p>
        </w:tc>
      </w:tr>
      <w:tr>
        <w:tc>
          <w:tcPr/>
          <w:p>
            <w:pPr>
              <w:pStyle w:val="Compact"/>
              <w:jc w:val="left"/>
            </w:pPr>
            <w:r>
              <w:t xml:space="preserve">Swath angle</w:t>
            </w:r>
          </w:p>
        </w:tc>
        <w:tc>
          <w:tcPr/>
          <w:p>
            <w:pPr>
              <w:pStyle w:val="Compact"/>
              <w:jc w:val="left"/>
            </w:pPr>
            <w:r>
              <w:t xml:space="preserve">± 20 degrees</w:t>
            </w:r>
          </w:p>
        </w:tc>
      </w:tr>
      <w:tr>
        <w:tc>
          <w:tcPr/>
          <w:p>
            <w:pPr>
              <w:pStyle w:val="Compact"/>
              <w:jc w:val="left"/>
            </w:pPr>
            <w:r>
              <w:t xml:space="preserve">Pulse Repetition Rate (PRR)</w:t>
            </w:r>
          </w:p>
        </w:tc>
        <w:tc>
          <w:tcPr/>
          <w:p>
            <w:pPr>
              <w:pStyle w:val="Compact"/>
              <w:jc w:val="left"/>
            </w:pPr>
            <w:r>
              <w:t xml:space="preserve">~ 1000 kHz</w:t>
            </w:r>
          </w:p>
        </w:tc>
      </w:tr>
      <w:tr>
        <w:tc>
          <w:tcPr/>
          <w:p>
            <w:pPr>
              <w:pStyle w:val="Compact"/>
              <w:jc w:val="left"/>
            </w:pPr>
            <w:r>
              <w:t xml:space="preserve">Ground footprint size of pulse</w:t>
            </w:r>
          </w:p>
        </w:tc>
        <w:tc>
          <w:tcPr/>
          <w:p>
            <w:pPr>
              <w:pStyle w:val="Compact"/>
              <w:jc w:val="left"/>
            </w:pPr>
            <w:r>
              <w:t xml:space="preserve">~ 0.16 m</w:t>
            </w:r>
          </w:p>
        </w:tc>
      </w:tr>
      <w:tr>
        <w:tc>
          <w:tcPr/>
          <w:p>
            <w:pPr>
              <w:pStyle w:val="Compact"/>
              <w:jc w:val="left"/>
            </w:pPr>
            <w:r>
              <w:t xml:space="preserve">Flight height</w:t>
            </w:r>
          </w:p>
        </w:tc>
        <w:tc>
          <w:tcPr/>
          <w:p>
            <w:pPr>
              <w:pStyle w:val="Compact"/>
              <w:jc w:val="left"/>
            </w:pPr>
            <w:r>
              <w:t xml:space="preserve">650 m AGL</w:t>
            </w:r>
          </w:p>
        </w:tc>
      </w:tr>
      <w:tr>
        <w:tc>
          <w:tcPr/>
          <w:p>
            <w:pPr>
              <w:pStyle w:val="Compact"/>
              <w:jc w:val="left"/>
            </w:pPr>
            <w:r>
              <w:t xml:space="preserve">Acquisition mode</w:t>
            </w:r>
          </w:p>
        </w:tc>
        <w:tc>
          <w:tcPr/>
          <w:p>
            <w:pPr>
              <w:pStyle w:val="Compact"/>
              <w:jc w:val="left"/>
            </w:pPr>
            <w:r>
              <w:t xml:space="preserve">online digitization</w:t>
            </w:r>
          </w:p>
        </w:tc>
      </w:tr>
      <w:tr>
        <w:tc>
          <w:tcPr/>
          <w:p>
            <w:pPr>
              <w:pStyle w:val="Compact"/>
              <w:jc w:val="left"/>
            </w:pPr>
            <w:r>
              <w:t xml:space="preserve">Note(s)</w:t>
            </w:r>
          </w:p>
        </w:tc>
        <w:tc>
          <w:tcPr/>
          <w:p>
            <w:pPr>
              <w:pStyle w:val="Compact"/>
              <w:jc w:val="left"/>
            </w:pPr>
            <w:r>
              <w:t xml:space="preserve">low altitude clouds forced acquisition altitude</w:t>
            </w: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ROI bounding box</w:t>
            </w:r>
          </w:p>
        </w:tc>
        <w:tc>
          <w:tcPr/>
          <w:p>
            <w:pPr>
              <w:pStyle w:val="Compact"/>
            </w:pPr>
          </w:p>
        </w:tc>
      </w:tr>
      <w:tr>
        <w:tc>
          <w:tcPr/>
          <w:p>
            <w:pPr>
              <w:pStyle w:val="Compact"/>
              <w:jc w:val="left"/>
            </w:pPr>
            <w:r>
              <w:t xml:space="preserve">Coordinate Reference System (CRS)</w:t>
            </w:r>
          </w:p>
        </w:tc>
        <w:tc>
          <w:tcPr/>
          <w:p>
            <w:pPr>
              <w:pStyle w:val="Compact"/>
              <w:jc w:val="left"/>
            </w:pPr>
            <w:r>
              <w:t xml:space="preserve">EPSG:2972</w:t>
            </w:r>
          </w:p>
        </w:tc>
      </w:tr>
      <w:tr>
        <w:tc>
          <w:tcPr/>
          <w:p>
            <w:pPr>
              <w:pStyle w:val="Compact"/>
              <w:jc w:val="left"/>
            </w:pPr>
            <w:r>
              <w:t xml:space="preserve">xmin</w:t>
            </w:r>
          </w:p>
        </w:tc>
        <w:tc>
          <w:tcPr/>
          <w:p>
            <w:pPr>
              <w:pStyle w:val="Compact"/>
              <w:jc w:val="left"/>
            </w:pPr>
            <w:r>
              <w:t xml:space="preserve">312000</w:t>
            </w:r>
          </w:p>
        </w:tc>
      </w:tr>
      <w:tr>
        <w:tc>
          <w:tcPr/>
          <w:p>
            <w:pPr>
              <w:pStyle w:val="Compact"/>
              <w:jc w:val="left"/>
            </w:pPr>
            <w:r>
              <w:t xml:space="preserve">xmax</w:t>
            </w:r>
          </w:p>
        </w:tc>
        <w:tc>
          <w:tcPr/>
          <w:p>
            <w:pPr>
              <w:pStyle w:val="Compact"/>
              <w:jc w:val="left"/>
            </w:pPr>
            <w:r>
              <w:t xml:space="preserve">315458.9</w:t>
            </w:r>
          </w:p>
        </w:tc>
      </w:tr>
      <w:tr>
        <w:tc>
          <w:tcPr/>
          <w:p>
            <w:pPr>
              <w:pStyle w:val="Compact"/>
              <w:jc w:val="left"/>
            </w:pPr>
            <w:r>
              <w:t xml:space="preserve">ymin</w:t>
            </w:r>
          </w:p>
        </w:tc>
        <w:tc>
          <w:tcPr/>
          <w:p>
            <w:pPr>
              <w:pStyle w:val="Compact"/>
              <w:jc w:val="left"/>
            </w:pPr>
            <w:r>
              <w:t xml:space="preserve">443000</w:t>
            </w:r>
          </w:p>
        </w:tc>
      </w:tr>
      <w:tr>
        <w:tc>
          <w:tcPr/>
          <w:p>
            <w:pPr>
              <w:pStyle w:val="Compact"/>
              <w:jc w:val="left"/>
            </w:pPr>
            <w:r>
              <w:t xml:space="preserve">ymax</w:t>
            </w:r>
          </w:p>
        </w:tc>
        <w:tc>
          <w:tcPr/>
          <w:p>
            <w:pPr>
              <w:pStyle w:val="Compact"/>
              <w:jc w:val="left"/>
            </w:pPr>
            <w:r>
              <w:t xml:space="preserve">453500</w:t>
            </w: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Contextual info</w:t>
            </w:r>
          </w:p>
        </w:tc>
        <w:tc>
          <w:tcPr/>
          <w:p>
            <w:pPr>
              <w:pStyle w:val="Compact"/>
            </w:pPr>
          </w:p>
        </w:tc>
      </w:tr>
      <w:tr>
        <w:tc>
          <w:tcPr/>
          <w:p>
            <w:pPr>
              <w:pStyle w:val="Compact"/>
              <w:jc w:val="left"/>
            </w:pPr>
            <w:r>
              <w:t xml:space="preserve">Funding</w:t>
            </w:r>
          </w:p>
        </w:tc>
        <w:tc>
          <w:tcPr/>
          <w:p>
            <w:pPr>
              <w:pStyle w:val="Compact"/>
              <w:jc w:val="left"/>
            </w:pPr>
            <w:r>
              <w:t xml:space="preserve">ANR Labex CEBA</w:t>
            </w:r>
          </w:p>
        </w:tc>
      </w:tr>
      <w:tr>
        <w:tc>
          <w:tcPr/>
          <w:p>
            <w:pPr>
              <w:pStyle w:val="Compact"/>
              <w:jc w:val="left"/>
            </w:pPr>
            <w:r>
              <w:t xml:space="preserve">Contact</w:t>
            </w:r>
          </w:p>
        </w:tc>
        <w:tc>
          <w:tcPr/>
          <w:p>
            <w:pPr>
              <w:pStyle w:val="Compact"/>
              <w:jc w:val="left"/>
            </w:pPr>
            <w:r>
              <w:t xml:space="preserve">Grégoire Vincent (</w:t>
            </w:r>
            <w:hyperlink r:id="rId33">
              <w:r>
                <w:rPr>
                  <w:rStyle w:val="Hyperlink"/>
                </w:rPr>
                <w:t xml:space="preserve">gregoire.vincent@ird.fr</w:t>
              </w:r>
            </w:hyperlink>
            <w:r>
              <w:t xml:space="preserve">)</w:t>
            </w:r>
          </w:p>
        </w:tc>
      </w:tr>
    </w:tbl>
    <w:bookmarkEnd w:id="34"/>
    <w:bookmarkStart w:id="35" w:name="parameters"/>
    <w:p>
      <w:pPr>
        <w:pStyle w:val="Heading1"/>
      </w:pPr>
      <w:r>
        <w:rPr>
          <w:rStyle w:val="SectionNumber"/>
        </w:rPr>
        <w:t xml:space="preserve">5</w:t>
      </w:r>
      <w:r>
        <w:tab/>
      </w:r>
      <w:r>
        <w:t xml:space="preserve">Parameters</w:t>
      </w:r>
    </w:p>
    <w:p>
      <w:pPr>
        <w:pStyle w:val="FirstParagraph"/>
      </w:pPr>
      <w:r>
        <w:t xml:space="preserve">The pipeline has a set of parameters that can control how the processing of the input data is performed. The following table lists the most important ones:</w:t>
      </w:r>
    </w:p>
    <w:tbl>
      <w:tblPr>
        <w:tblStyle w:val="Table"/>
        <w:tblW w:type="pct" w:w="5000"/>
        <w:tblLook w:firstRow="1" w:lastRow="0" w:firstColumn="0" w:lastColumn="0" w:noHBand="0" w:noVBand="0" w:val="0020"/>
        <w:jc w:val="start"/>
      </w:tblPr>
      <w:tblGrid>
        <w:gridCol w:w="1584"/>
        <w:gridCol w:w="5544"/>
        <w:gridCol w:w="792"/>
      </w:tblGrid>
      <w:tr>
        <w:trPr>
          <w:tblHeader w:val="true"/>
        </w:trPr>
        <w:tc>
          <w:tcPr/>
          <w:p>
            <w:pPr>
              <w:pStyle w:val="Compact"/>
              <w:jc w:val="left"/>
            </w:pPr>
            <w:r>
              <w:t xml:space="preserve">Name</w:t>
            </w:r>
          </w:p>
        </w:tc>
        <w:tc>
          <w:tcPr/>
          <w:p>
            <w:pPr>
              <w:pStyle w:val="Compact"/>
              <w:jc w:val="left"/>
            </w:pPr>
            <w:r>
              <w:t xml:space="preserve">Description</w:t>
            </w:r>
          </w:p>
        </w:tc>
        <w:tc>
          <w:tcPr/>
          <w:p>
            <w:pPr>
              <w:pStyle w:val="Compact"/>
              <w:jc w:val="left"/>
            </w:pPr>
            <w:r>
              <w:t xml:space="preserve">Default</w:t>
            </w:r>
          </w:p>
        </w:tc>
      </w:tr>
      <w:tr>
        <w:tc>
          <w:tcPr/>
          <w:p>
            <w:pPr>
              <w:pStyle w:val="Compact"/>
              <w:jc w:val="left"/>
            </w:pPr>
            <w:r>
              <w:t xml:space="preserve">name_job</w:t>
            </w:r>
          </w:p>
        </w:tc>
        <w:tc>
          <w:tcPr/>
          <w:p>
            <w:pPr>
              <w:pStyle w:val="Compact"/>
              <w:jc w:val="left"/>
            </w:pPr>
            <w:r>
              <w:t xml:space="preserve">Overall job name, used for processing stats</w:t>
            </w:r>
          </w:p>
        </w:tc>
        <w:tc>
          <w:tcPr/>
          <w:p>
            <w:pPr>
              <w:pStyle w:val="Compact"/>
              <w:jc w:val="left"/>
            </w:pPr>
            <w:r>
              <w:t xml:space="preserve">“</w:t>
            </w:r>
            <w:r>
              <w:t xml:space="preserve">gca</w:t>
            </w:r>
            <w:r>
              <w:t xml:space="preserve">”</w:t>
            </w:r>
          </w:p>
        </w:tc>
      </w:tr>
      <w:tr>
        <w:tc>
          <w:tcPr/>
          <w:p>
            <w:pPr>
              <w:pStyle w:val="Compact"/>
              <w:jc w:val="left"/>
            </w:pPr>
            <w:r>
              <w:t xml:space="preserve">type_file</w:t>
            </w:r>
          </w:p>
        </w:tc>
        <w:tc>
          <w:tcPr/>
          <w:p>
            <w:pPr>
              <w:pStyle w:val="Compact"/>
              <w:jc w:val="left"/>
            </w:pPr>
            <w:r>
              <w:t xml:space="preserve">Type of the files to be processed, needs to be exact (las, laz)</w:t>
            </w:r>
          </w:p>
        </w:tc>
        <w:tc>
          <w:tcPr/>
          <w:p>
            <w:pPr>
              <w:pStyle w:val="Compact"/>
              <w:jc w:val="left"/>
            </w:pPr>
            <w:r>
              <w:t xml:space="preserve">“</w:t>
            </w:r>
            <w:r>
              <w:t xml:space="preserve">las</w:t>
            </w:r>
            <w:r>
              <w:t xml:space="preserve">”</w:t>
            </w:r>
          </w:p>
        </w:tc>
      </w:tr>
      <w:tr>
        <w:tc>
          <w:tcPr/>
          <w:p>
            <w:pPr>
              <w:pStyle w:val="Compact"/>
              <w:jc w:val="left"/>
            </w:pPr>
            <w:r>
              <w:t xml:space="preserve">dir_dataset</w:t>
            </w:r>
          </w:p>
        </w:tc>
        <w:tc>
          <w:tcPr/>
          <w:p>
            <w:pPr>
              <w:pStyle w:val="Compact"/>
              <w:jc w:val="left"/>
            </w:pPr>
            <w:r>
              <w:t xml:space="preserve">Folder that contains data sets</w:t>
            </w:r>
          </w:p>
        </w:tc>
        <w:tc>
          <w:tcPr/>
          <w:p>
            <w:pPr>
              <w:pStyle w:val="Compact"/>
              <w:jc w:val="left"/>
            </w:pPr>
            <w:r>
              <w:t xml:space="preserve">“”</w:t>
            </w:r>
          </w:p>
        </w:tc>
      </w:tr>
      <w:tr>
        <w:tc>
          <w:tcPr/>
          <w:p>
            <w:pPr>
              <w:pStyle w:val="Compact"/>
              <w:jc w:val="left"/>
            </w:pPr>
            <w:r>
              <w:t xml:space="preserve">dir_processed</w:t>
            </w:r>
          </w:p>
        </w:tc>
        <w:tc>
          <w:tcPr/>
          <w:p>
            <w:pPr>
              <w:pStyle w:val="Compact"/>
              <w:jc w:val="left"/>
            </w:pPr>
            <w:r>
              <w:t xml:space="preserve">Folder where processed data sets should be saved</w:t>
            </w:r>
          </w:p>
        </w:tc>
        <w:tc>
          <w:tcPr/>
          <w:p>
            <w:pPr>
              <w:pStyle w:val="Compact"/>
              <w:jc w:val="left"/>
            </w:pPr>
            <w:r>
              <w:t xml:space="preserve">“”</w:t>
            </w:r>
          </w:p>
        </w:tc>
      </w:tr>
      <w:tr>
        <w:tc>
          <w:tcPr/>
          <w:p>
            <w:pPr>
              <w:pStyle w:val="Compact"/>
              <w:jc w:val="left"/>
            </w:pPr>
            <w:r>
              <w:t xml:space="preserve">path_lastools</w:t>
            </w:r>
          </w:p>
        </w:tc>
        <w:tc>
          <w:tcPr/>
          <w:p>
            <w:pPr>
              <w:pStyle w:val="Compact"/>
              <w:jc w:val="left"/>
            </w:pPr>
            <w:r>
              <w:t xml:space="preserve">Folder to most recent lastools installation</w:t>
            </w:r>
          </w:p>
        </w:tc>
        <w:tc>
          <w:tcPr/>
          <w:p>
            <w:pPr>
              <w:pStyle w:val="Compact"/>
              <w:jc w:val="left"/>
            </w:pPr>
            <w:r>
              <w:t xml:space="preserve">“”</w:t>
            </w:r>
          </w:p>
        </w:tc>
      </w:tr>
      <w:tr>
        <w:tc>
          <w:tcPr/>
          <w:p>
            <w:pPr>
              <w:pStyle w:val="Compact"/>
              <w:jc w:val="left"/>
            </w:pPr>
            <w:r>
              <w:t xml:space="preserve">tmpdir_processing</w:t>
            </w:r>
          </w:p>
        </w:tc>
        <w:tc>
          <w:tcPr/>
          <w:p>
            <w:pPr>
              <w:pStyle w:val="Compact"/>
              <w:jc w:val="left"/>
            </w:pPr>
            <w:r>
              <w:t xml:space="preserve">Folder where processing occurs (files will be overwritten)</w:t>
            </w:r>
          </w:p>
        </w:tc>
        <w:tc>
          <w:tcPr/>
          <w:p>
            <w:pPr>
              <w:pStyle w:val="Compact"/>
              <w:jc w:val="left"/>
            </w:pPr>
            <w:r>
              <w:t xml:space="preserve">“”</w:t>
            </w:r>
          </w:p>
        </w:tc>
      </w:tr>
      <w:tr>
        <w:tc>
          <w:tcPr/>
          <w:p>
            <w:pPr>
              <w:pStyle w:val="Compact"/>
              <w:jc w:val="left"/>
            </w:pPr>
            <w:r>
              <w:t xml:space="preserve">resolution</w:t>
            </w:r>
          </w:p>
        </w:tc>
        <w:tc>
          <w:tcPr/>
          <w:p>
            <w:pPr>
              <w:pStyle w:val="Compact"/>
              <w:jc w:val="left"/>
            </w:pPr>
            <w:r>
              <w:t xml:space="preserve">Resolution of raster products (in m)</w:t>
            </w:r>
          </w:p>
        </w:tc>
        <w:tc>
          <w:tcPr/>
          <w:p>
            <w:pPr>
              <w:pStyle w:val="Compact"/>
              <w:jc w:val="left"/>
            </w:pPr>
            <w:r>
              <w:t xml:space="preserve">1.0</w:t>
            </w:r>
          </w:p>
        </w:tc>
      </w:tr>
      <w:tr>
        <w:tc>
          <w:tcPr/>
          <w:p>
            <w:pPr>
              <w:pStyle w:val="Compact"/>
              <w:jc w:val="left"/>
            </w:pPr>
            <w:r>
              <w:t xml:space="preserve">n_cores</w:t>
            </w:r>
          </w:p>
        </w:tc>
        <w:tc>
          <w:tcPr/>
          <w:p>
            <w:pPr>
              <w:pStyle w:val="Compact"/>
              <w:jc w:val="left"/>
            </w:pPr>
            <w:r>
              <w:t xml:space="preserve">Number of cores for processing</w:t>
            </w:r>
          </w:p>
        </w:tc>
        <w:tc>
          <w:tcPr/>
          <w:p>
            <w:pPr>
              <w:pStyle w:val="Compact"/>
              <w:jc w:val="left"/>
            </w:pPr>
            <w:r>
              <w:t xml:space="preserve">1</w:t>
            </w:r>
          </w:p>
        </w:tc>
      </w:tr>
      <w:tr>
        <w:tc>
          <w:tcPr/>
          <w:p>
            <w:pPr>
              <w:pStyle w:val="Compact"/>
              <w:jc w:val="left"/>
            </w:pPr>
            <w:r>
              <w:t xml:space="preserve">size_tile</w:t>
            </w:r>
          </w:p>
        </w:tc>
        <w:tc>
          <w:tcPr/>
          <w:p>
            <w:pPr>
              <w:pStyle w:val="Compact"/>
              <w:jc w:val="left"/>
            </w:pPr>
            <w:r>
              <w:t xml:space="preserve">Retiling size</w:t>
            </w:r>
          </w:p>
        </w:tc>
        <w:tc>
          <w:tcPr/>
          <w:p>
            <w:pPr>
              <w:pStyle w:val="Compact"/>
              <w:jc w:val="left"/>
            </w:pPr>
            <w:r>
              <w:t xml:space="preserve">500</w:t>
            </w:r>
          </w:p>
        </w:tc>
      </w:tr>
      <w:tr>
        <w:tc>
          <w:tcPr/>
          <w:p>
            <w:pPr>
              <w:pStyle w:val="Compact"/>
              <w:jc w:val="left"/>
            </w:pPr>
            <w:r>
              <w:t xml:space="preserve">size_buffer</w:t>
            </w:r>
          </w:p>
        </w:tc>
        <w:tc>
          <w:tcPr/>
          <w:p>
            <w:pPr>
              <w:pStyle w:val="Compact"/>
              <w:jc w:val="left"/>
            </w:pPr>
            <w:r>
              <w:t xml:space="preserve">Tile buffer size</w:t>
            </w:r>
          </w:p>
        </w:tc>
        <w:tc>
          <w:tcPr/>
          <w:p>
            <w:pPr>
              <w:pStyle w:val="Compact"/>
              <w:jc w:val="left"/>
            </w:pPr>
            <w:r>
              <w:t xml:space="preserve">50</w:t>
            </w:r>
          </w:p>
        </w:tc>
      </w:tr>
      <w:tr>
        <w:tc>
          <w:tcPr/>
          <w:p>
            <w:pPr>
              <w:pStyle w:val="Compact"/>
              <w:jc w:val="left"/>
            </w:pPr>
            <w:r>
              <w:t xml:space="preserve">force.utm</w:t>
            </w:r>
          </w:p>
        </w:tc>
        <w:tc>
          <w:tcPr/>
          <w:p>
            <w:pPr>
              <w:pStyle w:val="Compact"/>
              <w:jc w:val="left"/>
            </w:pPr>
            <w:r>
              <w:t xml:space="preserve">Force reprojection of coordinate reference system into UTM (and meter) coordinates</w:t>
            </w:r>
          </w:p>
        </w:tc>
        <w:tc>
          <w:tcPr/>
          <w:p>
            <w:pPr>
              <w:pStyle w:val="Compact"/>
              <w:jc w:val="left"/>
            </w:pPr>
            <w:r>
              <w:t xml:space="preserve">True</w:t>
            </w:r>
          </w:p>
        </w:tc>
      </w:tr>
      <w:tr>
        <w:tc>
          <w:tcPr/>
          <w:p>
            <w:pPr>
              <w:pStyle w:val="Compact"/>
              <w:jc w:val="left"/>
            </w:pPr>
            <w:r>
              <w:t xml:space="preserve">force.recompute</w:t>
            </w:r>
          </w:p>
        </w:tc>
        <w:tc>
          <w:tcPr/>
          <w:p>
            <w:pPr>
              <w:pStyle w:val="Compact"/>
              <w:jc w:val="left"/>
            </w:pPr>
            <w:r>
              <w:t xml:space="preserve">Force reprocessing. Only unprocessed data subsets will be reprocessed</w:t>
            </w:r>
          </w:p>
        </w:tc>
        <w:tc>
          <w:tcPr/>
          <w:p>
            <w:pPr>
              <w:pStyle w:val="Compact"/>
              <w:jc w:val="left"/>
            </w:pPr>
            <w:r>
              <w:t xml:space="preserve">False</w:t>
            </w:r>
          </w:p>
        </w:tc>
      </w:tr>
    </w:tbl>
    <w:bookmarkEnd w:id="35"/>
    <w:bookmarkStart w:id="36" w:name="usage"/>
    <w:p>
      <w:pPr>
        <w:pStyle w:val="Heading1"/>
      </w:pPr>
      <w:r>
        <w:rPr>
          <w:rStyle w:val="SectionNumber"/>
        </w:rPr>
        <w:t xml:space="preserve">6</w:t>
      </w:r>
      <w:r>
        <w:tab/>
      </w:r>
      <w:r>
        <w:t xml:space="preserve">Usage</w:t>
      </w:r>
    </w:p>
    <w:p>
      <w:pPr>
        <w:pStyle w:val="FirstParagraph"/>
      </w:pPr>
      <w:r>
        <w:t xml:space="preserve">The GCA pipeline is a complete application that takes files as an input and will produce a set of different files as the product output. Therefore, the user must only satisfy the following steps in order to use the pipeline:</w:t>
      </w:r>
    </w:p>
    <w:p>
      <w:pPr>
        <w:numPr>
          <w:ilvl w:val="0"/>
          <w:numId w:val="1007"/>
        </w:numPr>
      </w:pPr>
      <w:r>
        <w:t xml:space="preserve">Place the input data in the desired input folder</w:t>
      </w:r>
    </w:p>
    <w:p>
      <w:pPr>
        <w:numPr>
          <w:ilvl w:val="0"/>
          <w:numId w:val="1007"/>
        </w:numPr>
      </w:pPr>
      <w:r>
        <w:t xml:space="preserve">Complete and verify the input data metadata</w:t>
      </w:r>
    </w:p>
    <w:p>
      <w:pPr>
        <w:numPr>
          <w:ilvl w:val="0"/>
          <w:numId w:val="1007"/>
        </w:numPr>
      </w:pPr>
      <w:r>
        <w:t xml:space="preserve">Fill the desired values for each parameter</w:t>
      </w:r>
    </w:p>
    <w:p>
      <w:pPr>
        <w:numPr>
          <w:ilvl w:val="0"/>
          <w:numId w:val="1007"/>
        </w:numPr>
      </w:pPr>
      <w:r>
        <w:t xml:space="preserve">Run the main file: ALS_processing.R</w:t>
      </w:r>
    </w:p>
    <w:p>
      <w:pPr>
        <w:pStyle w:val="FirstParagraph"/>
      </w:pPr>
      <w:r>
        <w:t xml:space="preserve">Then, the pipeline will process the data and generate the output products, which will be placed at the directory defined by the</w:t>
      </w:r>
      <w:r>
        <w:t xml:space="preserve"> </w:t>
      </w:r>
      <w:r>
        <w:t xml:space="preserve">“</w:t>
      </w:r>
      <w:r>
        <w:t xml:space="preserve">dir_processed</w:t>
      </w:r>
      <w:r>
        <w:t xml:space="preserve">”</w:t>
      </w:r>
      <w:r>
        <w:t xml:space="preserve"> </w:t>
      </w:r>
      <w:r>
        <w:t xml:space="preserve">parameter.</w:t>
      </w:r>
    </w:p>
    <w:bookmarkEnd w:id="36"/>
    <w:bookmarkStart w:id="37" w:name="output-products"/>
    <w:p>
      <w:pPr>
        <w:pStyle w:val="Heading1"/>
      </w:pPr>
      <w:r>
        <w:rPr>
          <w:rStyle w:val="SectionNumber"/>
        </w:rPr>
        <w:t xml:space="preserve">7</w:t>
      </w:r>
      <w:r>
        <w:tab/>
      </w:r>
      <w:r>
        <w:t xml:space="preserve">Output products</w:t>
      </w:r>
    </w:p>
    <w:p>
      <w:pPr>
        <w:numPr>
          <w:ilvl w:val="0"/>
          <w:numId w:val="1008"/>
        </w:numPr>
        <w:pStyle w:val="Compact"/>
      </w:pPr>
      <w:r>
        <w:t xml:space="preserve">Supplied DTM</w:t>
      </w:r>
    </w:p>
    <w:p>
      <w:pPr>
        <w:numPr>
          <w:ilvl w:val="0"/>
          <w:numId w:val="1008"/>
        </w:numPr>
        <w:pStyle w:val="Compact"/>
      </w:pPr>
      <w:r>
        <w:t xml:space="preserve">DTM</w:t>
      </w:r>
    </w:p>
    <w:p>
      <w:pPr>
        <w:numPr>
          <w:ilvl w:val="0"/>
          <w:numId w:val="1008"/>
        </w:numPr>
        <w:pStyle w:val="Compact"/>
      </w:pPr>
      <w:r>
        <w:t xml:space="preserve">CHM</w:t>
      </w:r>
    </w:p>
    <w:p>
      <w:pPr>
        <w:numPr>
          <w:ilvl w:val="1"/>
          <w:numId w:val="1009"/>
        </w:numPr>
        <w:pStyle w:val="Compact"/>
      </w:pPr>
      <w:r>
        <w:t xml:space="preserve">TIN</w:t>
      </w:r>
    </w:p>
    <w:p>
      <w:pPr>
        <w:numPr>
          <w:ilvl w:val="1"/>
          <w:numId w:val="1009"/>
        </w:numPr>
        <w:pStyle w:val="Compact"/>
      </w:pPr>
      <w:r>
        <w:t xml:space="preserve">Highest</w:t>
      </w:r>
    </w:p>
    <w:p>
      <w:pPr>
        <w:numPr>
          <w:ilvl w:val="1"/>
          <w:numId w:val="1009"/>
        </w:numPr>
        <w:pStyle w:val="Compact"/>
      </w:pPr>
      <w:r>
        <w:t xml:space="preserve">Lspikefree</w:t>
      </w:r>
    </w:p>
    <w:p>
      <w:pPr>
        <w:numPr>
          <w:ilvl w:val="0"/>
          <w:numId w:val="1008"/>
        </w:numPr>
        <w:pStyle w:val="Compact"/>
      </w:pPr>
      <w:r>
        <w:t xml:space="preserve">Pulse density raster</w:t>
      </w:r>
    </w:p>
    <w:p>
      <w:pPr>
        <w:numPr>
          <w:ilvl w:val="0"/>
          <w:numId w:val="1008"/>
        </w:numPr>
        <w:pStyle w:val="Compact"/>
      </w:pPr>
      <w:r>
        <w:t xml:space="preserve">Scan angle raster</w:t>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21" Target="https://github.com/fischer-fjd/GCA/tree/GCA_open_source" TargetMode="External" /><Relationship Type="http://schemas.openxmlformats.org/officeDocument/2006/relationships/hyperlink" Id="rId33" Target="mailto:gregoire.vincent@ird.fr"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ischer-fjd/GCA/tree/GCA_open_source" TargetMode="External" /><Relationship Type="http://schemas.openxmlformats.org/officeDocument/2006/relationships/hyperlink" Id="rId33" Target="mailto:gregoire.vincent@ird.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Canopy Atlas pipeline</dc:title>
  <dc:creator>Fabian Fischer et al.</dc:creator>
  <dc:description>Generation of Digital Terrain Model (DTM) and Canopy Heigh Model (CHM) from Aerial Lidar Scanning (ALS) data</dc:description>
  <cp:keywords/>
  <dcterms:created xsi:type="dcterms:W3CDTF">2025-04-30T08:43:19Z</dcterms:created>
  <dcterms:modified xsi:type="dcterms:W3CDTF">2025-04-30T08:43:19Z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2025-04-30</vt:lpwstr>
  </property>
  <property fmtid="{D5CDD505-2E9C-101B-9397-08002B2CF9AE}" pid="3" name="output">
    <vt:lpwstr/>
  </property>
  <property fmtid="{D5CDD505-2E9C-101B-9397-08002B2CF9AE}" pid="4" name="vignette">
    <vt:lpwstr>% % %</vt:lpwstr>
  </property>
</Properties>
</file>