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C0392B"/>
          <w:sz w:val="56"/>
          <w:szCs w:val="56"/>
        </w:rPr>
        <w:t xml:space="preserve">LYNX</w:t>
      </w:r>
      <w:r>
        <w:rPr>
          <w:rFonts w:ascii="Arial" w:cs="Arial" w:eastAsia="Arial" w:hAnsi="Arial"/>
          <w:b/>
          <w:bCs/>
          <w:color w:val="333333"/>
          <w:sz w:val="56"/>
          <w:szCs w:val="56"/>
        </w:rPr>
        <w:t xml:space="preserve"> LINING</w:t>
      </w:r>
    </w:p>
    <w:p>
      <w:pPr>
        <w:pBdr>
          <w:bottom w:val="single" w:color="1F4E79" w:sz="6" w:space="8"/>
        </w:pBdr>
        <w:spacing w:after="400"/>
        <w:jc w:val="center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Compliance &amp; Datenschutz-Dokumentation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Übersicht der implementierten Sicherheits- und Datenschutzmaßnahmen
gemäß DSGVO, EU AI Act und österreichischem Recht</w:t>
      </w:r>
    </w:p>
    <w:p>
      <w:pPr>
        <w:spacing w:after="6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LYNX Lining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Ing. Kurt Haidecker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Schillerstraße 13, 4020 Linz, Österreich</w:t>
      </w:r>
    </w:p>
    <w:p>
      <w:pPr>
        <w:spacing w:after="400"/>
      </w:pP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Dokumentversion: 1.0</w:t>
      </w: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Stand: März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Zusammenfassung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Die Website www.lynx-lining.com der Firma LYNX Lining wurde einer umfassenden Compliance-Prüfung unterzogen. Dieses Dokument beschreibt alle implementierten Maßnahmen zum Datenschutz, zur Datensicherheit und zur Einhaltung gesetzlicher Vorgaben gemäß der Datenschutz-Grundverordnung (DSGVO), dem österreichischen Datenschutzgesetz (DSG), dem E-Commerce-Gesetz (ECG), dem Telekommunikationsgesetz (TKG 2003), dem Fern- und Auswärtsgeschäfte-Gesetz (FAGG) sowie dem EU AI Act.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Rechtsseiten der Website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2.1 Impressum (§ 5 ECG, § 25 MedienG)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Vollständig implementiert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Vollständige Angaben gemäß § 5 ECG und § 25 MedienG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Firmenname, Inhaber (Ing. Kurt Haidecker), Adresse, Kontaktdaten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Unternehmensgegenstand klar definiert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Aufsichtsbehörde (BH Linz) angegeben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Haftungsausschlüsse für Inhalte, Links und Urheberrecht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Bildnachweis vorhanden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Zweisprachig verfügbar (Deutsch/Englisch)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Verlinkt im Footer jeder Seite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62828"/>
          <w:sz w:val="20"/>
          <w:szCs w:val="20"/>
        </w:rPr>
        <w:t xml:space="preserve">OFFEN: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UID-Nummer muss noch konkret eingetragen werden (gesetzliche Pflichtangabe gemäß ECG/UGB)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2.2 Datenschutzerklärung (DSGVO Art. 13, 14)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Vollständig implementiert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Enthält alle gemäß DSGVO erforderlichen Angaben: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Verantwortlicher mit vollständigen Kontaktdaten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Beschreibung der Datenerhebung bei Website-Besuch (Server-Logfiles)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Beschreibung der Datenerhebung bei Kontaktformularnutzung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Beschreibung der Datenerhebung bei Shop-Bestellungen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Rechtsgrundlagen (Art. 6 DSGVO) für jede Verarbeitungskategorie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Weitergabe von Daten an Dritte (nur mit Einwilligung/Vertrag/Gesetz)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Cookie-Richtlinie mit Unterscheidung notwendig/optional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Hosting-Information (Hetzner Online GmbH, Deutschland — EU-konform)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Explizite Erklärung: Keine externen Dienste werden geladen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SSL-Verschlüsselung dokumentiert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Betroffenenrechte (Art. 15–21 DSGVO) aufgelistet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Kontaktdaten der Österreichischen Datenschutzbehörde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Aufbewahrungsfristen (steuerrechtlich 7 Jahre)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Änderungsvorbehalt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Zweisprachig verfügbar (Deutsch/Englisch)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2.3 Allgemeine Geschäftsbedingungen (AGB)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Vollständig implementiert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12 Abschnitte gemäß österreichischem Recht: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Geltungsbereich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Vertragsschluss (Angebot/Annahme-Prinzip)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Preise und Zahlung (Nettopreise, Staffelpreise, Zahlungsziel 14 Tage)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Lieferbedingungen (EXW Linz, Incoterms 2020)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Eigentumsvorbehalt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Gewährleistung und Mängelhaftung (12 Monate, 8 Werktage Rüge)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Haftungsbeschränkung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Widerrufsrecht (Ausschluss bei Sonderanfertigung gemäß § 18 FAGG)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Muster-Widerrufsformular (NEU implementiert März 2026)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Datenschutz (Verweis auf Datenschutzerklärung)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Anwendbares Recht (Österreich, Ausschluss UN-Kaufrecht)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Salvatorische Klausel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Zweisprachig verfügbar (Deutsch/Englisch)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Stand: März 2026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Cookie-Banner und Einwilligungsmanagement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3.1 Cookie-Banner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Vollständig implementiert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Wird auf jeder Seite der Website angezeigt (eingebunden im Main-Layout)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Erscheint nur, wenn keine vorherige Einwilligung vorliegt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Zwei Cookie-Kategorien: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Notwendig (immer aktiv, nicht deaktivierbar) — Session-Management und Sprachauswahl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Statistik/Analytics (Opt-in) — nur mit ausdrücklicher Zustimmung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Drei Aktionsmöglichkeiten für den Benutzer: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"Alle akzeptieren" — aktiviert alle Kategorien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"Nur notwendige" — lehnt optionale Cookies ab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"Auswahl speichern" — speichert individuelle Auswahl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Einwilligung wird im localStorage gespeichert mit Zeitstempel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Verweis auf Datenschutzerklärung im Banner enthalten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Zweisprachig (Deutsch/Englisch)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3.2 Consent-Checkboxen in Formularen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Kontaktformular: Pflicht-Checkbox mit Link zur Datenschutzerklärung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Shop-Bestellformular: Zwei Pflicht-Checkboxen: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"AGB gelesen und akzeptiert" mit Link zu den AGB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"Datenschutzerklärung gelesen und zugestimmt" mit Link zur Datenschutzerklärung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Technische Datenschutzmaßnahmen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4.1 Keine externen Ressourcen / Drittanbieter-Dienste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Die Website lädt ausnahmslos KEINE externen Ressourcen: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Bereich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Maßnahme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Schriftarten (Montserrat, Inter) werden lokal gehostet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Google Analytics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Nicht eingesetzt — keine externe Besucheranalyse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Facebook Pixel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Nicht eingesetzt — kein Social-Media-Tracking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CDN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Alle JavaScript- und CSS-Bibliotheken lokal gehostet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Bilder/Videos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Alle Medien vom eigenen Server bereitgestellt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reCAPTCHA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Nicht eingesetzt — Honeypot-Spamschutz stattdessen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Instagram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Bilder werden lokal gecacht statt direkt eingebunden</w:t>
            </w:r>
          </w:p>
        </w:tc>
      </w:tr>
    </w:tbl>
    <w:p>
      <w:pPr>
        <w:spacing w:after="8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Dies bedeutet: Bei einem Seitenaufruf wird KEINE Verbindung zu Drittservern hergestellt. Es werden keine IP-Adressen oder andere Nutzerdaten an externe Dienste übertragen.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4.2 Hosting und Serverstandort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Eigenschaft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Hosting-Provider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Hetzner Online GmbH, Gunzenhausen, Deutschland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Serverstandort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Deutschland (EU)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Datenübertragung in Drittländer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Keine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DSGVO-Konformität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Hetzner unterliegt deutschem/europäischem Datenschutzrecht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4.3 SSL/TLS-Verschlüsselung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Gesamte Website über HTTPS erreichbar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SSL-Zertifikat via Let's Encrypt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Alle Datenübertragungen zwischen Browser und Server sind verschlüsselt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4.4 Security Headers (Helmet.js)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HTTP Security Headers über Helmet.js-Middleware implementiert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Schutz vor Cross-Site-Scripting (XSS)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Schutz vor Clickjacking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Schutz vor MIME-Type-Sniffing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4.5 Session-Sicherheit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Maßnahme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httpOnly-Flag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Kein JavaScript-Zugriff auf Session-Cookies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sameSite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"lax" — Schutz vor CSRF-Angriffen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Session-Timeout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24 Stunden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Reverse-Proxy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Sichere Konfiguration über Reverse-Proxy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4.6 Spam-Schutz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Honeypot-Felder in Kontakt- und Shop-Formularen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Unsichtbare Felder mit aria-hidden und tabindex="-1"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Kein reCAPTCHA notwendig — datenschutzfreundlichere Alternative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KI-Hinweis gemäß EU AI Act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5.1 Umsetzung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Vollständig implementiert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(März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Hinweis im Footer jeder Seite: "Teile dieser Website wurden mit Unterstützung von KI-Werkzeugen erstellt."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Ausführlicher Absatz im Impressum mit Klarstellung der inhaltlichen Verantwortung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Zweisprachig (Deutsch/Englisch)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5.2 Empfehlungen für den weiteren KI-Einsatz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Bei Einsatz von KI für E-Mail-Kommunikation: Hinweis in der E-Mail-Signatur empfohlen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Bei KI-generierten Bildern: Kennzeichnung im Bildnachweis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Bei Social-Media-Posts mit KI-Unterstützung: Transparenzhinweis in der Bio oder im Post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Dokumentation interner KI-Nutzung zur Nachvollziehbarkeit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Referenzen und Compliance-Richtlinien von Kunden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6.1 Aktuelle Referenzdarstellung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Die Referenz-Seite zeigt folgende Firmen mit Testimonials und Fotos: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Arthofer Bau GmbH (Johann Arthofer — mit Foto und Zitat)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Grabner Recycling (Andreas Grabner — mit Foto und Zitat)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Mandorfer Bau GmbH (Rudolf Mandorfer — mit Foto und Zitat)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6.2 Empfehlung: Referenz-Freigabe-Prozess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Für alle auf der Website gezeigten Referenzen sollte eine schriftliche Freigabe vorliegen: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Zustimmung zur Namensnennung der Firma auf der Website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Zustimmung zur Verwendung von Fotos/Videos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Zustimmung zur Veröffentlichung von Zitaten/Testimonials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Festlegung, ob ein Firmenlogo verwendet werden darf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6.3 Besondere Compliance-Anforderungen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Bei bestimmten Firmen bestehen verschärfte Compliance-Richtlinien: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026"/>
      </w:tblGrid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Firma</w:t>
            </w:r>
          </w:p>
        </w:tc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Einschränkung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Empfohlene Darstellung</w:t>
            </w:r>
          </w:p>
        </w:tc>
      </w:tr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Julius Blum GmbH</w:t>
            </w:r>
          </w:p>
        </w:tc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Kein Bezug oder Verweis auf die Firma in Bildern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"Internationaler Beschlägehersteller"</w:t>
            </w:r>
          </w:p>
        </w:tc>
      </w:tr>
      <w:tr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Hirschmann Automotive</w:t>
            </w:r>
          </w:p>
        </w:tc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Kein Bezug oder Verweis auf die Firma in Bildern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"Automobilzulieferer"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6.4 Status</w:t>
      </w:r>
    </w:p>
    <w:p>
      <w:pPr>
        <w:shd w:fill="E8F5E9" w:val="clear"/>
        <w:spacing w:after="12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  Julius Blum GmbH und Hirschmann Automotive werden aktuell NICHT auf der Website gezeigt — kein Verstoß vorhanden.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E-Mail-Konfiguration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7.1 SMTP-Konfiguration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Eigenschaft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Provider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World4You (Österreich)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SMTP-Server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smtp.world4you.com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E-Mail-Adresse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office@lynx-lining.com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Verschlüsselung</w:t>
            </w:r>
          </w:p>
        </w:tc>
        <w:tc>
          <w:tcPr>
            <w:tcW w:type="dxa" w:w="6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TLS (Port 587)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7.2 E-Mail-Vorlagen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Drei automatisierte E-Mail-Vorlagen sind konfiguriert: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Kontaktformular-Benachrichtigung — empfängt Anfragen über das Kontaktformular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Bestellbenachrichtigung — empfängt Bestellungen aus dem Online-Shop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Preisanfrage-Benachrichtigung — empfängt Preisanfragen für Produkte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Alle E-Mails werden intern an office@lynx-lining.com gesendet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Keine automatischen Antwort-E-Mails an Kunden (datenschutzfreundlich)</w:t>
      </w:r>
    </w:p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Internationalisierung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Die gesamte Website ist zweisprachig aufgebaut: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Deutsch (Standard): /de/...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Englisch: /en/...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Alle Rechtsseiten, Cookie-Banner, Formulare und KI-Hinweise sind in beiden Sprachen verfügbar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Sprachumschaltung über die Navigation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Offene Punkte / Handlungsempfehlungen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26"/>
        <w:gridCol w:w="1500"/>
        <w:gridCol w:w="2000"/>
      </w:tblGrid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5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Priorität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5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UID-Nummer im Impressum konkret eintragen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HOCH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5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Schriftliche Referenz-Freigaben einholen und archivieren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MITTEL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Empfohlen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5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E-Mail-Passwort in .env-Datei auf dem Server eintragen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HOCH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5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Seed-Script ausführen (aktualisierte Rechtsseiten)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HOCH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5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KI-Hinweis in E-Mail-Signatur (falls KI für E-Mails)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NIEDRIG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Optional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Compliance-Übersicht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Abschließende Übersicht aller implementierten Maßnahmen: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26"/>
        <w:gridCol w:w="2500"/>
      </w:tblGrid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Anforderung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Rechtsgrundlage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Impressum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§ 5 ECG, § 25 MedienG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Datenschutzerklärung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 Art. 13, 14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AGB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UGB, FAGG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Cookie-Banner mit Opt-in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DSGVO, ePrivacy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Einwilligungen in Formularen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 Art. 6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Keine externen Dienste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 Art. 44-49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Lokale Schriftarten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 (kein Daten-Transfer)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SSL-Verschlüsselung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 Art. 32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Hosting in EU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 Art. 44-49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Security Headers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 Art. 32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Spam-Schutz ohne reCAPTCHA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DSGVO (datenschutzfreundlich)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KI-Hinweis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EU AI Act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Muster-Widerrufsformular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FAGG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Zweisprachigkeit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Internationale Compliance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ERFÜLLT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UID-Nummer</w:t>
            </w:r>
          </w:p>
        </w:tc>
        <w:tc>
          <w:tcPr>
            <w:tcW w:type="dxa" w:w="3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ECG/UGB</w:t>
            </w:r>
          </w:p>
        </w:tc>
        <w:tc>
          <w:tcPr>
            <w:tcW w:type="dxa" w:w="2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OFFEN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pBdr>
          <w:top w:val="single" w:color="1F4E79" w:sz="2" w:space="8"/>
        </w:pBdr>
        <w:spacing w:before="4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Erstellt: März 2026</w:t>
      </w:r>
    </w:p>
    <w:p>
      <w:pPr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LYNX Lining — Ing. Kurt Haidecker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Seite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| LYNX Lining — Vertraulich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2" w:space="4"/>
      </w:pBdr>
    </w:pPr>
    <w:r>
      <w:rPr>
        <w:rFonts w:ascii="Arial" w:cs="Arial" w:eastAsia="Arial" w:hAnsi="Arial"/>
        <w:b/>
        <w:bCs/>
        <w:color w:val="C0392B"/>
        <w:sz w:val="16"/>
        <w:szCs w:val="16"/>
      </w:rPr>
      <w:t xml:space="preserve">LYNX Lining </w:t>
    </w:r>
    <w:r>
      <w:rPr>
        <w:rFonts w:ascii="Arial" w:cs="Arial" w:eastAsia="Arial" w:hAnsi="Arial"/>
        <w:color w:val="999999"/>
        <w:sz w:val="16"/>
        <w:szCs w:val="16"/>
      </w:rPr>
      <w:t xml:space="preserve">| Compliance &amp; Datenschutz-Dokumentation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5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2026-03-13T11:37:58.600Z</dcterms:created>
  <dcterms:modified xsi:type="dcterms:W3CDTF">2026-03-13T11:37:58.606Z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