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sz w:val="44"/>
          <w:szCs w:val="44"/>
          <w:lang w:eastAsia="zh-CN"/>
        </w:rPr>
      </w:pPr>
      <w:r>
        <w:rPr>
          <w:rFonts w:hint="eastAsia" w:ascii="黑体" w:eastAsia="黑体"/>
          <w:b/>
          <w:sz w:val="44"/>
          <w:szCs w:val="44"/>
        </w:rPr>
        <w:t>证据目录</w:t>
      </w:r>
    </w:p>
    <w:p>
      <w:pPr>
        <w:keepNext w:val="0"/>
        <w:keepLines w:val="0"/>
        <w:pageBreakBefore w:val="0"/>
        <w:kinsoku/>
        <w:wordWrap/>
        <w:overflowPunct/>
        <w:topLinePunct w:val="0"/>
        <w:autoSpaceDE/>
        <w:autoSpaceDN/>
        <w:bidi w:val="0"/>
        <w:adjustRightInd/>
        <w:snapToGrid/>
        <w:spacing w:line="300" w:lineRule="exact"/>
        <w:textAlignment w:val="auto"/>
        <w:rPr>
          <w:rFonts w:ascii="宋体"/>
          <w:sz w:val="21"/>
          <w:szCs w:val="21"/>
        </w:rPr>
      </w:pPr>
      <w:r>
        <w:rPr>
          <w:rFonts w:hint="eastAsia" w:ascii="宋体" w:hAnsi="宋体"/>
          <w:b/>
          <w:sz w:val="21"/>
          <w:szCs w:val="21"/>
        </w:rPr>
        <w:t>案</w:t>
      </w:r>
      <w:r>
        <w:rPr>
          <w:rFonts w:ascii="宋体" w:hAnsi="宋体"/>
          <w:b/>
          <w:sz w:val="21"/>
          <w:szCs w:val="21"/>
        </w:rPr>
        <w:t xml:space="preserve">  </w:t>
      </w:r>
      <w:r>
        <w:rPr>
          <w:rFonts w:hint="eastAsia" w:ascii="宋体" w:hAnsi="宋体"/>
          <w:b/>
          <w:sz w:val="21"/>
          <w:szCs w:val="21"/>
        </w:rPr>
        <w:t>由：</w:t>
      </w:r>
      <w:r>
        <w:rPr>
          <w:rFonts w:hint="eastAsia" w:ascii="宋体" w:hAnsi="宋体"/>
          <w:sz w:val="21"/>
          <w:szCs w:val="21"/>
          <w:lang w:val="en-US" w:eastAsia="zh-CN"/>
        </w:rPr>
        <w:t>不当得利</w:t>
      </w:r>
      <w:r>
        <w:rPr>
          <w:rFonts w:hint="eastAsia" w:ascii="宋体" w:hAnsi="宋体"/>
          <w:sz w:val="21"/>
          <w:szCs w:val="21"/>
        </w:rPr>
        <w:t>纠纷</w:t>
      </w:r>
    </w:p>
    <w:p>
      <w:pPr>
        <w:keepNext w:val="0"/>
        <w:keepLines w:val="0"/>
        <w:pageBreakBefore w:val="0"/>
        <w:kinsoku/>
        <w:wordWrap/>
        <w:overflowPunct/>
        <w:topLinePunct w:val="0"/>
        <w:autoSpaceDE/>
        <w:autoSpaceDN/>
        <w:bidi w:val="0"/>
        <w:adjustRightInd/>
        <w:snapToGrid/>
        <w:spacing w:line="300" w:lineRule="exact"/>
        <w:textAlignment w:val="auto"/>
        <w:rPr>
          <w:rFonts w:hint="eastAsia" w:ascii="宋体" w:hAnsi="宋体" w:eastAsia="宋体" w:cs="宋体"/>
          <w:i w:val="0"/>
          <w:caps w:val="0"/>
          <w:color w:val="131313"/>
          <w:spacing w:val="0"/>
          <w:kern w:val="2"/>
          <w:sz w:val="21"/>
          <w:szCs w:val="21"/>
          <w:shd w:val="clear" w:fill="FFFFFF"/>
          <w:lang w:val="en-US" w:eastAsia="zh-CN" w:bidi="ar-SA"/>
        </w:rPr>
      </w:pPr>
      <w:r>
        <w:rPr>
          <w:rFonts w:hint="eastAsia" w:ascii="宋体" w:hAnsi="宋体"/>
          <w:b/>
          <w:sz w:val="21"/>
          <w:szCs w:val="21"/>
        </w:rPr>
        <w:t>原</w:t>
      </w:r>
      <w:r>
        <w:rPr>
          <w:rFonts w:ascii="宋体" w:hAnsi="宋体"/>
          <w:b/>
          <w:sz w:val="21"/>
          <w:szCs w:val="21"/>
        </w:rPr>
        <w:t xml:space="preserve">  </w:t>
      </w:r>
      <w:r>
        <w:rPr>
          <w:rFonts w:hint="eastAsia" w:ascii="宋体" w:hAnsi="宋体"/>
          <w:b/>
          <w:sz w:val="21"/>
          <w:szCs w:val="21"/>
        </w:rPr>
        <w:t>告：</w:t>
      </w:r>
      <w:r>
        <w:rPr>
          <w:rFonts w:hint="eastAsia" w:ascii="宋体" w:hAnsi="宋体" w:eastAsia="宋体" w:cs="宋体"/>
          <w:i w:val="0"/>
          <w:caps w:val="0"/>
          <w:color w:val="131313"/>
          <w:spacing w:val="0"/>
          <w:sz w:val="21"/>
          <w:szCs w:val="21"/>
          <w:shd w:val="clear" w:fill="FFFFFF"/>
        </w:rPr>
        <w:t>芜湖方</w:t>
      </w:r>
      <w:r>
        <w:rPr>
          <w:rFonts w:hint="eastAsia" w:ascii="宋体" w:hAnsi="宋体" w:eastAsia="宋体" w:cs="宋体"/>
          <w:i w:val="0"/>
          <w:caps w:val="0"/>
          <w:color w:val="131313"/>
          <w:spacing w:val="0"/>
          <w:kern w:val="2"/>
          <w:sz w:val="21"/>
          <w:szCs w:val="21"/>
          <w:shd w:val="clear" w:fill="FFFFFF"/>
          <w:lang w:val="en-US" w:eastAsia="zh-CN" w:bidi="ar-SA"/>
        </w:rPr>
        <w:t>不圆工业设计有限公司</w:t>
      </w:r>
      <w:r>
        <w:rPr>
          <w:rFonts w:hint="eastAsia" w:ascii="宋体" w:hAnsi="宋体"/>
          <w:b/>
          <w:sz w:val="21"/>
          <w:szCs w:val="21"/>
        </w:rPr>
        <w:t>被</w:t>
      </w:r>
      <w:r>
        <w:rPr>
          <w:rFonts w:ascii="宋体" w:hAnsi="宋体"/>
          <w:b/>
          <w:sz w:val="21"/>
          <w:szCs w:val="21"/>
        </w:rPr>
        <w:t xml:space="preserve">  </w:t>
      </w:r>
      <w:r>
        <w:rPr>
          <w:rFonts w:hint="eastAsia" w:ascii="宋体" w:hAnsi="宋体"/>
          <w:b/>
          <w:sz w:val="21"/>
          <w:szCs w:val="21"/>
        </w:rPr>
        <w:t>告：</w:t>
      </w:r>
      <w:r>
        <w:rPr>
          <w:rFonts w:hint="eastAsia" w:ascii="宋体" w:hAnsi="宋体" w:eastAsia="宋体" w:cs="宋体"/>
          <w:i w:val="0"/>
          <w:caps w:val="0"/>
          <w:color w:val="131313"/>
          <w:spacing w:val="0"/>
          <w:kern w:val="2"/>
          <w:sz w:val="21"/>
          <w:szCs w:val="21"/>
          <w:shd w:val="clear" w:fill="FFFFFF"/>
          <w:lang w:val="en-US" w:eastAsia="zh-CN" w:bidi="ar-SA"/>
        </w:rPr>
        <w:t>芜湖松鸿金属制品有限公司</w:t>
      </w:r>
    </w:p>
    <w:p>
      <w:pPr>
        <w:keepNext w:val="0"/>
        <w:keepLines w:val="0"/>
        <w:pageBreakBefore w:val="0"/>
        <w:kinsoku/>
        <w:wordWrap/>
        <w:overflowPunct/>
        <w:topLinePunct w:val="0"/>
        <w:autoSpaceDE/>
        <w:autoSpaceDN/>
        <w:bidi w:val="0"/>
        <w:adjustRightInd/>
        <w:snapToGrid/>
        <w:spacing w:line="300" w:lineRule="exact"/>
        <w:textAlignment w:val="auto"/>
        <w:rPr>
          <w:rFonts w:ascii="宋体"/>
          <w:sz w:val="21"/>
          <w:szCs w:val="21"/>
        </w:rPr>
      </w:pPr>
      <w:r>
        <w:rPr>
          <w:rFonts w:hint="eastAsia" w:ascii="宋体" w:hAnsi="宋体"/>
          <w:b/>
          <w:sz w:val="21"/>
          <w:szCs w:val="21"/>
        </w:rPr>
        <w:t>提交人：</w:t>
      </w:r>
      <w:r>
        <w:rPr>
          <w:rFonts w:hint="eastAsia" w:ascii="宋体" w:hAnsi="宋体" w:eastAsia="宋体" w:cs="宋体"/>
          <w:i w:val="0"/>
          <w:caps w:val="0"/>
          <w:color w:val="131313"/>
          <w:spacing w:val="0"/>
          <w:sz w:val="21"/>
          <w:szCs w:val="21"/>
          <w:shd w:val="clear" w:fill="FFFFFF"/>
        </w:rPr>
        <w:t>芜湖方</w:t>
      </w:r>
      <w:r>
        <w:rPr>
          <w:rFonts w:hint="eastAsia" w:ascii="宋体" w:hAnsi="宋体" w:eastAsia="宋体" w:cs="宋体"/>
          <w:i w:val="0"/>
          <w:caps w:val="0"/>
          <w:color w:val="131313"/>
          <w:spacing w:val="0"/>
          <w:kern w:val="2"/>
          <w:sz w:val="21"/>
          <w:szCs w:val="21"/>
          <w:shd w:val="clear" w:fill="FFFFFF"/>
          <w:lang w:val="en-US" w:eastAsia="zh-CN" w:bidi="ar-SA"/>
        </w:rPr>
        <w:t>不圆工业设计有限公司</w:t>
      </w:r>
    </w:p>
    <w:tbl>
      <w:tblPr>
        <w:tblStyle w:val="2"/>
        <w:tblW w:w="8870"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97"/>
        <w:gridCol w:w="2132"/>
        <w:gridCol w:w="5774"/>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25" w:hRule="atLeast"/>
        </w:trPr>
        <w:tc>
          <w:tcPr>
            <w:tcW w:w="397" w:type="dxa"/>
            <w:vAlign w:val="center"/>
          </w:tcPr>
          <w:p>
            <w:pPr>
              <w:keepNext w:val="0"/>
              <w:keepLines w:val="0"/>
              <w:pageBreakBefore w:val="0"/>
              <w:kinsoku/>
              <w:wordWrap/>
              <w:overflowPunct/>
              <w:topLinePunct w:val="0"/>
              <w:autoSpaceDE/>
              <w:autoSpaceDN/>
              <w:bidi w:val="0"/>
              <w:adjustRightInd/>
              <w:snapToGrid/>
              <w:spacing w:line="300" w:lineRule="exact"/>
              <w:jc w:val="center"/>
              <w:textAlignment w:val="auto"/>
              <w:rPr>
                <w:rFonts w:ascii="宋体"/>
                <w:b/>
                <w:sz w:val="21"/>
                <w:szCs w:val="21"/>
              </w:rPr>
            </w:pPr>
            <w:r>
              <w:rPr>
                <w:rFonts w:hint="eastAsia" w:ascii="宋体" w:hAnsi="宋体"/>
                <w:b/>
                <w:sz w:val="21"/>
                <w:szCs w:val="21"/>
              </w:rPr>
              <w:t>序号</w:t>
            </w:r>
          </w:p>
        </w:tc>
        <w:tc>
          <w:tcPr>
            <w:tcW w:w="2132" w:type="dxa"/>
            <w:vAlign w:val="center"/>
          </w:tcPr>
          <w:p>
            <w:pPr>
              <w:keepNext w:val="0"/>
              <w:keepLines w:val="0"/>
              <w:pageBreakBefore w:val="0"/>
              <w:kinsoku/>
              <w:wordWrap/>
              <w:overflowPunct/>
              <w:topLinePunct w:val="0"/>
              <w:autoSpaceDE/>
              <w:autoSpaceDN/>
              <w:bidi w:val="0"/>
              <w:adjustRightInd/>
              <w:snapToGrid/>
              <w:spacing w:line="300" w:lineRule="exact"/>
              <w:jc w:val="center"/>
              <w:textAlignment w:val="auto"/>
              <w:rPr>
                <w:rFonts w:ascii="宋体"/>
                <w:b/>
                <w:sz w:val="21"/>
                <w:szCs w:val="21"/>
              </w:rPr>
            </w:pPr>
            <w:r>
              <w:rPr>
                <w:rFonts w:hint="eastAsia" w:ascii="宋体" w:hAnsi="宋体"/>
                <w:b/>
                <w:sz w:val="21"/>
                <w:szCs w:val="21"/>
              </w:rPr>
              <w:t>证据名称</w:t>
            </w:r>
          </w:p>
        </w:tc>
        <w:tc>
          <w:tcPr>
            <w:tcW w:w="5774" w:type="dxa"/>
          </w:tcPr>
          <w:p>
            <w:pPr>
              <w:keepNext w:val="0"/>
              <w:keepLines w:val="0"/>
              <w:pageBreakBefore w:val="0"/>
              <w:kinsoku/>
              <w:wordWrap/>
              <w:overflowPunct/>
              <w:topLinePunct w:val="0"/>
              <w:autoSpaceDE/>
              <w:autoSpaceDN/>
              <w:bidi w:val="0"/>
              <w:adjustRightInd/>
              <w:snapToGrid/>
              <w:spacing w:line="300" w:lineRule="exact"/>
              <w:jc w:val="center"/>
              <w:textAlignment w:val="auto"/>
              <w:rPr>
                <w:rFonts w:ascii="宋体"/>
                <w:b/>
                <w:sz w:val="21"/>
                <w:szCs w:val="21"/>
              </w:rPr>
            </w:pPr>
            <w:r>
              <w:rPr>
                <w:rFonts w:hint="eastAsia" w:ascii="宋体" w:hAnsi="宋体"/>
                <w:b/>
                <w:sz w:val="21"/>
                <w:szCs w:val="21"/>
              </w:rPr>
              <w:t>证明对象</w:t>
            </w:r>
          </w:p>
        </w:tc>
        <w:tc>
          <w:tcPr>
            <w:tcW w:w="567" w:type="dxa"/>
            <w:vAlign w:val="center"/>
          </w:tcPr>
          <w:p>
            <w:pPr>
              <w:keepNext w:val="0"/>
              <w:keepLines w:val="0"/>
              <w:pageBreakBefore w:val="0"/>
              <w:kinsoku/>
              <w:wordWrap/>
              <w:overflowPunct/>
              <w:topLinePunct w:val="0"/>
              <w:autoSpaceDE/>
              <w:autoSpaceDN/>
              <w:bidi w:val="0"/>
              <w:adjustRightInd/>
              <w:snapToGrid/>
              <w:spacing w:line="300" w:lineRule="exact"/>
              <w:jc w:val="center"/>
              <w:textAlignment w:val="auto"/>
              <w:rPr>
                <w:rFonts w:ascii="宋体"/>
                <w:b/>
                <w:sz w:val="21"/>
                <w:szCs w:val="21"/>
              </w:rPr>
            </w:pPr>
            <w:r>
              <w:rPr>
                <w:rFonts w:hint="eastAsia" w:ascii="宋体" w:hAnsi="宋体"/>
                <w:b/>
                <w:sz w:val="21"/>
                <w:szCs w:val="21"/>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74" w:hRule="atLeast"/>
        </w:trPr>
        <w:tc>
          <w:tcPr>
            <w:tcW w:w="397" w:type="dxa"/>
            <w:vAlign w:val="center"/>
          </w:tcPr>
          <w:p>
            <w:pPr>
              <w:keepNext w:val="0"/>
              <w:keepLines w:val="0"/>
              <w:pageBreakBefore w:val="0"/>
              <w:kinsoku/>
              <w:wordWrap/>
              <w:overflowPunct/>
              <w:topLinePunct w:val="0"/>
              <w:autoSpaceDE/>
              <w:autoSpaceDN/>
              <w:bidi w:val="0"/>
              <w:adjustRightInd/>
              <w:snapToGrid/>
              <w:spacing w:line="300" w:lineRule="exact"/>
              <w:jc w:val="center"/>
              <w:textAlignment w:val="auto"/>
              <w:rPr>
                <w:rFonts w:hint="eastAsia" w:ascii="宋体" w:eastAsiaTheme="minorEastAsia"/>
                <w:sz w:val="21"/>
                <w:szCs w:val="21"/>
                <w:lang w:val="en-US" w:eastAsia="zh-CN"/>
              </w:rPr>
            </w:pPr>
            <w:r>
              <w:rPr>
                <w:rFonts w:hint="eastAsia" w:ascii="宋体"/>
                <w:sz w:val="21"/>
                <w:szCs w:val="21"/>
                <w:lang w:val="en-US" w:eastAsia="zh-CN"/>
              </w:rPr>
              <w:t>1</w:t>
            </w:r>
          </w:p>
        </w:tc>
        <w:tc>
          <w:tcPr>
            <w:tcW w:w="2132" w:type="dxa"/>
            <w:vAlign w:val="center"/>
          </w:tcPr>
          <w:p>
            <w:pPr>
              <w:keepNext w:val="0"/>
              <w:keepLines w:val="0"/>
              <w:pageBreakBefore w:val="0"/>
              <w:kinsoku/>
              <w:wordWrap/>
              <w:overflowPunct/>
              <w:topLinePunct w:val="0"/>
              <w:autoSpaceDE/>
              <w:autoSpaceDN/>
              <w:bidi w:val="0"/>
              <w:adjustRightInd/>
              <w:snapToGrid/>
              <w:spacing w:line="300" w:lineRule="exact"/>
              <w:jc w:val="center"/>
              <w:textAlignment w:val="auto"/>
              <w:rPr>
                <w:rFonts w:hint="default" w:ascii="宋体" w:eastAsiaTheme="minorEastAsia"/>
                <w:sz w:val="21"/>
                <w:szCs w:val="21"/>
                <w:lang w:val="en-US" w:eastAsia="zh-CN"/>
              </w:rPr>
            </w:pPr>
            <w:r>
              <w:rPr>
                <w:rFonts w:hint="eastAsia" w:ascii="宋体" w:hAnsi="宋体" w:cs="宋体"/>
                <w:sz w:val="21"/>
                <w:szCs w:val="21"/>
                <w:lang w:val="en-US" w:eastAsia="zh-CN"/>
              </w:rPr>
              <w:t>网络竞价成功确认书、安徽省芜湖市中级人民法院（2020）皖02执恢93号之一执行裁定书、安徽省芜湖市中级人民法院送达证、不动产权证书、估价对象基本状况一览表（一审提交）</w:t>
            </w:r>
          </w:p>
        </w:tc>
        <w:tc>
          <w:tcPr>
            <w:tcW w:w="5774" w:type="dxa"/>
          </w:tcPr>
          <w:p>
            <w:pPr>
              <w:keepNext w:val="0"/>
              <w:keepLines w:val="0"/>
              <w:pageBreakBefore w:val="0"/>
              <w:kinsoku/>
              <w:wordWrap/>
              <w:overflowPunct/>
              <w:topLinePunct w:val="0"/>
              <w:autoSpaceDE/>
              <w:autoSpaceDN/>
              <w:bidi w:val="0"/>
              <w:adjustRightInd/>
              <w:snapToGrid/>
              <w:spacing w:line="300" w:lineRule="exact"/>
              <w:ind w:firstLine="495"/>
              <w:textAlignment w:val="auto"/>
              <w:rPr>
                <w:rFonts w:ascii="宋体" w:hAnsi="宋体" w:cs="宋体"/>
                <w:b/>
                <w:bCs/>
                <w:sz w:val="21"/>
                <w:szCs w:val="21"/>
              </w:rPr>
            </w:pPr>
            <w:r>
              <w:rPr>
                <w:rFonts w:hint="eastAsia" w:ascii="宋体" w:hAnsi="宋体" w:eastAsia="宋体" w:cs="宋体"/>
                <w:b w:val="0"/>
                <w:bCs w:val="0"/>
                <w:color w:val="000000"/>
                <w:sz w:val="21"/>
                <w:szCs w:val="21"/>
                <w:u w:val="none"/>
                <w:lang w:val="en-US" w:eastAsia="zh-CN"/>
              </w:rPr>
              <w:t>（1）2020年9月27日，原告通过淘宝网拍卖平台以28268188元竞买取得芜湖利众金属制品有限公司名下的芜国用（2011）第014号土地使用权以及开发区泰山路1-15号1#厂房【芜房地权证经开字第2013823556号】、开发区泰山路1-15号2#厂房【芜房地权证经开字第2013823557号】、开发区泰山路1-15号3#、4#厂房及2#宿舍楼（详见评估报告）所有权；（2）上述厂房及宿舍楼建筑面积共计20451.58㎡。</w:t>
            </w:r>
          </w:p>
        </w:tc>
        <w:tc>
          <w:tcPr>
            <w:tcW w:w="567" w:type="dxa"/>
            <w:vAlign w:val="center"/>
          </w:tcPr>
          <w:p>
            <w:pPr>
              <w:keepNext w:val="0"/>
              <w:keepLines w:val="0"/>
              <w:pageBreakBefore w:val="0"/>
              <w:kinsoku/>
              <w:wordWrap/>
              <w:overflowPunct/>
              <w:topLinePunct w:val="0"/>
              <w:autoSpaceDE/>
              <w:autoSpaceDN/>
              <w:bidi w:val="0"/>
              <w:adjustRightInd/>
              <w:snapToGrid/>
              <w:spacing w:line="300" w:lineRule="exact"/>
              <w:jc w:val="center"/>
              <w:textAlignment w:val="auto"/>
              <w:rPr>
                <w:rFonts w:ascii="宋体"/>
                <w:sz w:val="21"/>
                <w:szCs w:val="21"/>
              </w:rPr>
            </w:pPr>
            <w:r>
              <w:rPr>
                <w:rFonts w:hint="eastAsia" w:ascii="宋体"/>
                <w:sz w:val="21"/>
                <w:szCs w:val="21"/>
                <w:lang w:val="en-US" w:eastAsia="zh-CN"/>
              </w:rPr>
              <w:t>1-7</w:t>
            </w:r>
            <w:r>
              <w:rPr>
                <w:rFonts w:hint="eastAsia" w:ascii="宋体"/>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77" w:hRule="atLeast"/>
        </w:trPr>
        <w:tc>
          <w:tcPr>
            <w:tcW w:w="397" w:type="dxa"/>
            <w:vAlign w:val="center"/>
          </w:tcPr>
          <w:p>
            <w:pPr>
              <w:keepNext w:val="0"/>
              <w:keepLines w:val="0"/>
              <w:pageBreakBefore w:val="0"/>
              <w:kinsoku/>
              <w:wordWrap/>
              <w:overflowPunct/>
              <w:topLinePunct w:val="0"/>
              <w:autoSpaceDE/>
              <w:autoSpaceDN/>
              <w:bidi w:val="0"/>
              <w:adjustRightInd/>
              <w:snapToGrid/>
              <w:spacing w:line="300" w:lineRule="exact"/>
              <w:jc w:val="center"/>
              <w:textAlignment w:val="auto"/>
              <w:rPr>
                <w:rFonts w:hint="eastAsia" w:ascii="宋体" w:hAnsi="宋体" w:eastAsiaTheme="minorEastAsia"/>
                <w:sz w:val="21"/>
                <w:szCs w:val="21"/>
                <w:lang w:val="en-US" w:eastAsia="zh-CN"/>
              </w:rPr>
            </w:pPr>
            <w:r>
              <w:rPr>
                <w:rFonts w:hint="eastAsia" w:ascii="宋体" w:hAnsi="宋体"/>
                <w:sz w:val="21"/>
                <w:szCs w:val="21"/>
                <w:lang w:val="en-US" w:eastAsia="zh-CN"/>
              </w:rPr>
              <w:t>2</w:t>
            </w:r>
          </w:p>
        </w:tc>
        <w:tc>
          <w:tcPr>
            <w:tcW w:w="2132" w:type="dxa"/>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300" w:lineRule="exact"/>
              <w:ind w:left="0" w:right="0" w:firstLine="0"/>
              <w:jc w:val="left"/>
              <w:textAlignment w:val="auto"/>
              <w:rPr>
                <w:rFonts w:hint="default" w:ascii="宋体" w:hAnsi="宋体" w:eastAsiaTheme="minorEastAsia"/>
                <w:sz w:val="21"/>
                <w:szCs w:val="21"/>
                <w:lang w:val="en-US" w:eastAsia="zh-CN"/>
              </w:rPr>
            </w:pPr>
            <w:r>
              <w:rPr>
                <w:rFonts w:hint="eastAsia" w:ascii="宋体" w:hAnsi="宋体"/>
                <w:sz w:val="21"/>
                <w:szCs w:val="21"/>
                <w:lang w:val="en-US" w:eastAsia="zh-CN"/>
              </w:rPr>
              <w:t>承诺函、芜湖松鸿整体搬迁进度计划表；2021年1月5日、1月8日芜湖市中级人民法院制作的谈话笔录两份；芜湖市中级人民法院</w:t>
            </w:r>
            <w:r>
              <w:rPr>
                <w:rFonts w:hint="eastAsia" w:ascii="宋体" w:hAnsi="宋体" w:eastAsia="宋体" w:cs="宋体"/>
                <w:i w:val="0"/>
                <w:caps w:val="0"/>
                <w:color w:val="333333"/>
                <w:spacing w:val="0"/>
                <w:kern w:val="0"/>
                <w:sz w:val="21"/>
                <w:szCs w:val="21"/>
                <w:shd w:val="clear" w:fill="FFFFFF"/>
                <w:lang w:val="en-US" w:eastAsia="zh-CN" w:bidi="ar"/>
              </w:rPr>
              <w:t>（2020）皖02民终915号民事判决书（一审提交）</w:t>
            </w:r>
          </w:p>
        </w:tc>
        <w:tc>
          <w:tcPr>
            <w:tcW w:w="5774" w:type="dxa"/>
          </w:tcPr>
          <w:p>
            <w:pPr>
              <w:keepNext w:val="0"/>
              <w:keepLines w:val="0"/>
              <w:pageBreakBefore w:val="0"/>
              <w:kinsoku/>
              <w:wordWrap/>
              <w:overflowPunct/>
              <w:topLinePunct w:val="0"/>
              <w:autoSpaceDE/>
              <w:autoSpaceDN/>
              <w:bidi w:val="0"/>
              <w:adjustRightInd/>
              <w:snapToGrid/>
              <w:spacing w:line="300" w:lineRule="exact"/>
              <w:ind w:firstLine="495"/>
              <w:textAlignment w:val="auto"/>
              <w:rPr>
                <w:rFonts w:hint="eastAsia" w:ascii="宋体" w:hAnsi="宋体" w:eastAsia="宋体" w:cs="宋体"/>
                <w:b w:val="0"/>
                <w:bCs w:val="0"/>
                <w:color w:val="000000"/>
                <w:sz w:val="21"/>
                <w:szCs w:val="21"/>
                <w:u w:val="none"/>
                <w:lang w:val="en-US" w:eastAsia="zh-CN"/>
              </w:rPr>
            </w:pPr>
            <w:r>
              <w:rPr>
                <w:rFonts w:hint="eastAsia" w:ascii="宋体" w:hAnsi="宋体" w:eastAsia="宋体" w:cs="宋体"/>
                <w:b w:val="0"/>
                <w:bCs w:val="0"/>
                <w:color w:val="000000"/>
                <w:sz w:val="21"/>
                <w:szCs w:val="21"/>
                <w:u w:val="none"/>
                <w:lang w:val="en-US" w:eastAsia="zh-CN"/>
              </w:rPr>
              <w:t>（1）在原告取得上述厂房及宿舍楼所有权前，被告长期占有使用上述厂房及宿舍楼一直到2021年1月8日才彻底腾让给原告，即占有使用原告上述厂房及宿舍楼共计104天。（2）结合该地段市场租金行情，应为0.5元/天/㎡。（3）被告应支付原告房屋占有使用费共计人民币1063482.16元（20451.58㎡*0.5*104天）。</w:t>
            </w:r>
          </w:p>
          <w:p>
            <w:pPr>
              <w:keepNext w:val="0"/>
              <w:keepLines w:val="0"/>
              <w:pageBreakBefore w:val="0"/>
              <w:kinsoku/>
              <w:wordWrap/>
              <w:overflowPunct/>
              <w:topLinePunct w:val="0"/>
              <w:autoSpaceDE/>
              <w:autoSpaceDN/>
              <w:bidi w:val="0"/>
              <w:adjustRightInd/>
              <w:snapToGrid/>
              <w:spacing w:line="300" w:lineRule="exact"/>
              <w:ind w:firstLine="495"/>
              <w:textAlignment w:val="auto"/>
              <w:rPr>
                <w:rFonts w:hint="eastAsia" w:ascii="宋体" w:hAnsi="宋体" w:eastAsia="宋体" w:cs="宋体"/>
                <w:b w:val="0"/>
                <w:bCs w:val="0"/>
                <w:color w:val="000000"/>
                <w:sz w:val="21"/>
                <w:szCs w:val="21"/>
                <w:u w:val="none"/>
                <w:lang w:val="en-US" w:eastAsia="zh-CN"/>
              </w:rPr>
            </w:pPr>
          </w:p>
          <w:p>
            <w:pPr>
              <w:keepNext w:val="0"/>
              <w:keepLines w:val="0"/>
              <w:pageBreakBefore w:val="0"/>
              <w:kinsoku/>
              <w:wordWrap/>
              <w:overflowPunct/>
              <w:topLinePunct w:val="0"/>
              <w:autoSpaceDE/>
              <w:autoSpaceDN/>
              <w:bidi w:val="0"/>
              <w:adjustRightInd/>
              <w:snapToGrid/>
              <w:spacing w:line="300" w:lineRule="exact"/>
              <w:ind w:firstLine="495"/>
              <w:textAlignment w:val="auto"/>
              <w:rPr>
                <w:rFonts w:ascii="宋体" w:hAnsi="宋体" w:cs="宋体"/>
                <w:sz w:val="21"/>
                <w:szCs w:val="21"/>
              </w:rPr>
            </w:pPr>
          </w:p>
        </w:tc>
        <w:tc>
          <w:tcPr>
            <w:tcW w:w="567" w:type="dxa"/>
            <w:vAlign w:val="center"/>
          </w:tcPr>
          <w:p>
            <w:pPr>
              <w:keepNext w:val="0"/>
              <w:keepLines w:val="0"/>
              <w:pageBreakBefore w:val="0"/>
              <w:kinsoku/>
              <w:wordWrap/>
              <w:overflowPunct/>
              <w:topLinePunct w:val="0"/>
              <w:autoSpaceDE/>
              <w:autoSpaceDN/>
              <w:bidi w:val="0"/>
              <w:adjustRightInd/>
              <w:snapToGrid/>
              <w:spacing w:line="300" w:lineRule="exact"/>
              <w:jc w:val="center"/>
              <w:textAlignment w:val="auto"/>
              <w:rPr>
                <w:rFonts w:hint="default" w:ascii="宋体" w:hAnsi="宋体" w:eastAsiaTheme="minorEastAsia"/>
                <w:sz w:val="21"/>
                <w:szCs w:val="21"/>
                <w:lang w:val="en-US" w:eastAsia="zh-CN"/>
              </w:rPr>
            </w:pPr>
            <w:r>
              <w:rPr>
                <w:rFonts w:hint="eastAsia" w:ascii="宋体" w:hAnsi="宋体"/>
                <w:sz w:val="21"/>
                <w:szCs w:val="21"/>
                <w:lang w:val="en-US" w:eastAsia="zh-CN"/>
              </w:rPr>
              <w:t>8-18页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20" w:hRule="atLeast"/>
        </w:trPr>
        <w:tc>
          <w:tcPr>
            <w:tcW w:w="397" w:type="dxa"/>
            <w:vAlign w:val="center"/>
          </w:tcPr>
          <w:p>
            <w:pPr>
              <w:keepNext w:val="0"/>
              <w:keepLines w:val="0"/>
              <w:pageBreakBefore w:val="0"/>
              <w:kinsoku/>
              <w:wordWrap/>
              <w:overflowPunct/>
              <w:topLinePunct w:val="0"/>
              <w:autoSpaceDE/>
              <w:autoSpaceDN/>
              <w:bidi w:val="0"/>
              <w:adjustRightInd/>
              <w:snapToGrid/>
              <w:spacing w:line="300" w:lineRule="exact"/>
              <w:jc w:val="center"/>
              <w:textAlignment w:val="auto"/>
              <w:rPr>
                <w:rFonts w:hint="eastAsia" w:ascii="宋体" w:hAnsi="宋体" w:eastAsiaTheme="minorEastAsia"/>
                <w:sz w:val="21"/>
                <w:szCs w:val="21"/>
                <w:lang w:val="en-US" w:eastAsia="zh-CN"/>
              </w:rPr>
            </w:pPr>
            <w:r>
              <w:rPr>
                <w:rFonts w:hint="eastAsia" w:ascii="宋体" w:hAnsi="宋体"/>
                <w:sz w:val="21"/>
                <w:szCs w:val="21"/>
                <w:lang w:val="en-US" w:eastAsia="zh-CN"/>
              </w:rPr>
              <w:t>3</w:t>
            </w:r>
          </w:p>
        </w:tc>
        <w:tc>
          <w:tcPr>
            <w:tcW w:w="2132" w:type="dxa"/>
            <w:vAlign w:val="center"/>
          </w:tcPr>
          <w:p>
            <w:pPr>
              <w:keepNext w:val="0"/>
              <w:keepLines w:val="0"/>
              <w:pageBreakBefore w:val="0"/>
              <w:kinsoku/>
              <w:wordWrap/>
              <w:overflowPunct/>
              <w:topLinePunct w:val="0"/>
              <w:autoSpaceDE/>
              <w:autoSpaceDN/>
              <w:bidi w:val="0"/>
              <w:adjustRightInd/>
              <w:snapToGrid/>
              <w:spacing w:line="300" w:lineRule="exact"/>
              <w:jc w:val="left"/>
              <w:textAlignment w:val="auto"/>
              <w:rPr>
                <w:rFonts w:hint="default" w:ascii="宋体" w:hAnsi="宋体" w:cs="宋体" w:eastAsiaTheme="minorEastAsia"/>
                <w:sz w:val="21"/>
                <w:szCs w:val="21"/>
                <w:lang w:val="en-US" w:eastAsia="zh-CN"/>
              </w:rPr>
            </w:pPr>
            <w:r>
              <w:rPr>
                <w:rFonts w:hint="eastAsia" w:ascii="宋体" w:hAnsi="宋体" w:cs="宋体"/>
                <w:sz w:val="21"/>
                <w:szCs w:val="21"/>
                <w:lang w:eastAsia="zh-CN"/>
              </w:rPr>
              <w:t>（</w:t>
            </w:r>
            <w:r>
              <w:rPr>
                <w:rFonts w:hint="eastAsia" w:ascii="宋体" w:hAnsi="宋体" w:cs="宋体"/>
                <w:sz w:val="21"/>
                <w:szCs w:val="21"/>
                <w:lang w:val="en-US" w:eastAsia="zh-CN"/>
              </w:rPr>
              <w:t>1</w:t>
            </w:r>
            <w:r>
              <w:rPr>
                <w:rFonts w:hint="eastAsia" w:ascii="宋体" w:hAnsi="宋体" w:cs="宋体"/>
                <w:sz w:val="21"/>
                <w:szCs w:val="21"/>
                <w:lang w:eastAsia="zh-CN"/>
              </w:rPr>
              <w:t>）（</w:t>
            </w:r>
            <w:r>
              <w:rPr>
                <w:rFonts w:hint="eastAsia" w:ascii="宋体" w:hAnsi="宋体" w:cs="宋体"/>
                <w:sz w:val="21"/>
                <w:szCs w:val="21"/>
                <w:lang w:val="en-US" w:eastAsia="zh-CN"/>
              </w:rPr>
              <w:t>2014</w:t>
            </w:r>
            <w:r>
              <w:rPr>
                <w:rFonts w:hint="eastAsia" w:ascii="宋体" w:hAnsi="宋体" w:cs="宋体"/>
                <w:sz w:val="21"/>
                <w:szCs w:val="21"/>
                <w:lang w:eastAsia="zh-CN"/>
              </w:rPr>
              <w:t>）</w:t>
            </w:r>
            <w:r>
              <w:rPr>
                <w:rFonts w:hint="eastAsia" w:ascii="宋体" w:hAnsi="宋体" w:cs="宋体"/>
                <w:sz w:val="21"/>
                <w:szCs w:val="21"/>
                <w:lang w:val="en-US" w:eastAsia="zh-CN"/>
              </w:rPr>
              <w:t>芜经开民二初字第00157号民事判决书（2）芜湖利众金属制品有限公司与被告2014年3月28日签订的厂房租赁合同（3）</w:t>
            </w:r>
            <w:r>
              <w:rPr>
                <w:rFonts w:hint="eastAsia" w:ascii="宋体" w:hAnsi="宋体" w:cs="宋体"/>
                <w:sz w:val="21"/>
                <w:szCs w:val="21"/>
                <w:lang w:eastAsia="zh-CN"/>
              </w:rPr>
              <w:t>（</w:t>
            </w:r>
            <w:r>
              <w:rPr>
                <w:rFonts w:hint="eastAsia" w:ascii="宋体" w:hAnsi="宋体" w:cs="宋体"/>
                <w:sz w:val="21"/>
                <w:szCs w:val="21"/>
                <w:lang w:val="en-US" w:eastAsia="zh-CN"/>
              </w:rPr>
              <w:t>2014</w:t>
            </w:r>
            <w:r>
              <w:rPr>
                <w:rFonts w:hint="eastAsia" w:ascii="宋体" w:hAnsi="宋体" w:cs="宋体"/>
                <w:sz w:val="21"/>
                <w:szCs w:val="21"/>
                <w:lang w:eastAsia="zh-CN"/>
              </w:rPr>
              <w:t>）</w:t>
            </w:r>
            <w:r>
              <w:rPr>
                <w:rFonts w:hint="eastAsia" w:ascii="宋体" w:hAnsi="宋体" w:cs="宋体"/>
                <w:sz w:val="21"/>
                <w:szCs w:val="21"/>
                <w:lang w:val="en-US" w:eastAsia="zh-CN"/>
              </w:rPr>
              <w:t>芜经开民二初字第00157号案件庭审笔录、质证笔录（一审提交）</w:t>
            </w:r>
          </w:p>
        </w:tc>
        <w:tc>
          <w:tcPr>
            <w:tcW w:w="5774" w:type="dxa"/>
          </w:tcPr>
          <w:p>
            <w:pPr>
              <w:keepNext w:val="0"/>
              <w:keepLines w:val="0"/>
              <w:pageBreakBefore w:val="0"/>
              <w:kinsoku/>
              <w:wordWrap/>
              <w:overflowPunct/>
              <w:topLinePunct w:val="0"/>
              <w:autoSpaceDE/>
              <w:autoSpaceDN/>
              <w:bidi w:val="0"/>
              <w:adjustRightInd/>
              <w:snapToGrid/>
              <w:spacing w:line="300" w:lineRule="exact"/>
              <w:textAlignment w:val="auto"/>
              <w:rPr>
                <w:rFonts w:hint="eastAsia" w:ascii="宋体" w:hAnsi="宋体" w:cs="宋体"/>
                <w:sz w:val="21"/>
                <w:szCs w:val="21"/>
                <w:lang w:val="en-US" w:eastAsia="zh-CN"/>
              </w:rPr>
            </w:pPr>
            <w:r>
              <w:rPr>
                <w:rFonts w:hint="eastAsia" w:ascii="宋体" w:hAnsi="宋体" w:cs="宋体"/>
                <w:sz w:val="21"/>
                <w:szCs w:val="21"/>
                <w:lang w:val="en-US" w:eastAsia="zh-CN"/>
              </w:rPr>
              <w:t>（1）芜湖利众金属制品有限公司与被告就涉案厂房仅仅于2014年3月28日签订过一份租赁合同，合同约定租赁期间为自2014年4月15日至2015年4月15日止，被告提供的芜湖利众金属制品有限公司与被告2012年12月10日签订的协议书和2021年元月10日签订的租赁终止协议在时间和内容方面均与该租赁合同矛盾，均系伪造，不具有客观性。</w:t>
            </w:r>
          </w:p>
          <w:p>
            <w:pPr>
              <w:keepNext w:val="0"/>
              <w:keepLines w:val="0"/>
              <w:pageBreakBefore w:val="0"/>
              <w:kinsoku/>
              <w:wordWrap/>
              <w:overflowPunct/>
              <w:topLinePunct w:val="0"/>
              <w:autoSpaceDE/>
              <w:autoSpaceDN/>
              <w:bidi w:val="0"/>
              <w:adjustRightInd/>
              <w:snapToGrid/>
              <w:spacing w:line="300" w:lineRule="exact"/>
              <w:textAlignment w:val="auto"/>
              <w:rPr>
                <w:rFonts w:hint="eastAsia" w:ascii="宋体" w:hAnsi="宋体" w:cs="宋体"/>
                <w:sz w:val="21"/>
                <w:szCs w:val="21"/>
                <w:lang w:val="en-US" w:eastAsia="zh-CN"/>
              </w:rPr>
            </w:pPr>
            <w:r>
              <w:rPr>
                <w:rFonts w:hint="eastAsia" w:ascii="宋体" w:hAnsi="宋体" w:cs="宋体"/>
                <w:sz w:val="21"/>
                <w:szCs w:val="21"/>
                <w:lang w:val="en-US" w:eastAsia="zh-CN"/>
              </w:rPr>
              <w:t>（2）涉案房屋在出租前已设立抵押权（2013年1月18日），本案不适用买卖不破租赁。</w:t>
            </w:r>
          </w:p>
          <w:p>
            <w:pPr>
              <w:keepNext w:val="0"/>
              <w:keepLines w:val="0"/>
              <w:pageBreakBefore w:val="0"/>
              <w:kinsoku/>
              <w:wordWrap/>
              <w:overflowPunct/>
              <w:topLinePunct w:val="0"/>
              <w:autoSpaceDE/>
              <w:autoSpaceDN/>
              <w:bidi w:val="0"/>
              <w:adjustRightInd/>
              <w:snapToGrid/>
              <w:spacing w:line="300" w:lineRule="exact"/>
              <w:textAlignment w:val="auto"/>
              <w:rPr>
                <w:rFonts w:hint="eastAsia" w:ascii="宋体" w:hAnsi="宋体" w:cs="宋体"/>
                <w:sz w:val="21"/>
                <w:szCs w:val="21"/>
                <w:lang w:val="en-US" w:eastAsia="zh-CN"/>
              </w:rPr>
            </w:pPr>
            <w:r>
              <w:rPr>
                <w:rFonts w:hint="eastAsia" w:ascii="宋体" w:hAnsi="宋体" w:cs="宋体"/>
                <w:sz w:val="21"/>
                <w:szCs w:val="21"/>
                <w:lang w:val="en-US" w:eastAsia="zh-CN"/>
              </w:rPr>
              <w:t>（3）</w:t>
            </w:r>
            <w:r>
              <w:rPr>
                <w:rFonts w:hint="eastAsia" w:ascii="宋体" w:hAnsi="宋体" w:eastAsia="宋体" w:cs="宋体"/>
                <w:b w:val="0"/>
                <w:bCs w:val="0"/>
                <w:color w:val="000000"/>
                <w:sz w:val="21"/>
                <w:szCs w:val="21"/>
                <w:u w:val="none"/>
                <w:lang w:val="en-US" w:eastAsia="zh-CN"/>
              </w:rPr>
              <w:t>被告应支付原告房屋占有使用费共计人民币1063482.16元（20451.58㎡*0.5*104天）。</w:t>
            </w:r>
          </w:p>
          <w:p>
            <w:pPr>
              <w:keepNext w:val="0"/>
              <w:keepLines w:val="0"/>
              <w:pageBreakBefore w:val="0"/>
              <w:kinsoku/>
              <w:wordWrap/>
              <w:overflowPunct/>
              <w:topLinePunct w:val="0"/>
              <w:autoSpaceDE/>
              <w:autoSpaceDN/>
              <w:bidi w:val="0"/>
              <w:adjustRightInd/>
              <w:snapToGrid/>
              <w:spacing w:line="300" w:lineRule="exact"/>
              <w:textAlignment w:val="auto"/>
              <w:rPr>
                <w:rFonts w:hint="default" w:ascii="宋体" w:hAnsi="宋体" w:cs="宋体"/>
                <w:sz w:val="21"/>
                <w:szCs w:val="21"/>
                <w:lang w:val="en-US" w:eastAsia="zh-CN"/>
              </w:rPr>
            </w:pPr>
            <w:r>
              <w:rPr>
                <w:rFonts w:hint="eastAsia" w:ascii="宋体" w:hAnsi="宋体" w:cs="宋体"/>
                <w:sz w:val="21"/>
                <w:szCs w:val="21"/>
                <w:lang w:val="en-US" w:eastAsia="zh-CN"/>
              </w:rPr>
              <w:t>（4）自2020年9月27日起至2021年1月8日止被告占有使用属于原告所有的厂房及宿舍楼没有法律根据，被告应向原告支付房屋占有使用费及水电费用，被告不支付构成不当得利。</w:t>
            </w:r>
          </w:p>
        </w:tc>
        <w:tc>
          <w:tcPr>
            <w:tcW w:w="567" w:type="dxa"/>
            <w:vAlign w:val="center"/>
          </w:tcPr>
          <w:p>
            <w:pPr>
              <w:keepNext w:val="0"/>
              <w:keepLines w:val="0"/>
              <w:pageBreakBefore w:val="0"/>
              <w:kinsoku/>
              <w:wordWrap/>
              <w:overflowPunct/>
              <w:topLinePunct w:val="0"/>
              <w:autoSpaceDE/>
              <w:autoSpaceDN/>
              <w:bidi w:val="0"/>
              <w:adjustRightInd/>
              <w:snapToGrid/>
              <w:spacing w:line="300" w:lineRule="exact"/>
              <w:textAlignment w:val="auto"/>
              <w:rPr>
                <w:rFonts w:hint="default" w:ascii="宋体" w:hAnsi="宋体" w:cs="宋体"/>
                <w:sz w:val="21"/>
                <w:szCs w:val="21"/>
                <w:lang w:val="en-US" w:eastAsia="zh-CN"/>
              </w:rPr>
            </w:pPr>
            <w:r>
              <w:rPr>
                <w:rFonts w:hint="eastAsia" w:ascii="宋体" w:hAnsi="宋体" w:cs="宋体"/>
                <w:sz w:val="21"/>
                <w:szCs w:val="21"/>
                <w:lang w:val="en-US" w:eastAsia="zh-CN"/>
              </w:rPr>
              <w:t>19-35页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20" w:hRule="atLeast"/>
        </w:trPr>
        <w:tc>
          <w:tcPr>
            <w:tcW w:w="397" w:type="dxa"/>
            <w:vAlign w:val="center"/>
          </w:tcPr>
          <w:p>
            <w:pPr>
              <w:keepNext w:val="0"/>
              <w:keepLines w:val="0"/>
              <w:pageBreakBefore w:val="0"/>
              <w:kinsoku/>
              <w:wordWrap/>
              <w:overflowPunct/>
              <w:topLinePunct w:val="0"/>
              <w:autoSpaceDE/>
              <w:autoSpaceDN/>
              <w:bidi w:val="0"/>
              <w:adjustRightInd/>
              <w:snapToGrid/>
              <w:spacing w:line="300" w:lineRule="exact"/>
              <w:jc w:val="center"/>
              <w:textAlignment w:val="auto"/>
              <w:rPr>
                <w:rFonts w:hint="default" w:ascii="宋体" w:hAnsi="宋体"/>
                <w:sz w:val="21"/>
                <w:szCs w:val="21"/>
                <w:lang w:val="en-US" w:eastAsia="zh-CN"/>
              </w:rPr>
            </w:pPr>
            <w:r>
              <w:rPr>
                <w:rFonts w:hint="eastAsia" w:ascii="宋体" w:hAnsi="宋体"/>
                <w:sz w:val="21"/>
                <w:szCs w:val="21"/>
                <w:lang w:val="en-US" w:eastAsia="zh-CN"/>
              </w:rPr>
              <w:t>4</w:t>
            </w:r>
          </w:p>
        </w:tc>
        <w:tc>
          <w:tcPr>
            <w:tcW w:w="2132" w:type="dxa"/>
            <w:vAlign w:val="center"/>
          </w:tcPr>
          <w:p>
            <w:pPr>
              <w:keepNext w:val="0"/>
              <w:keepLines w:val="0"/>
              <w:pageBreakBefore w:val="0"/>
              <w:kinsoku/>
              <w:wordWrap/>
              <w:overflowPunct/>
              <w:topLinePunct w:val="0"/>
              <w:autoSpaceDE/>
              <w:autoSpaceDN/>
              <w:bidi w:val="0"/>
              <w:adjustRightInd/>
              <w:snapToGrid/>
              <w:spacing w:line="300" w:lineRule="exact"/>
              <w:jc w:val="left"/>
              <w:textAlignment w:val="auto"/>
              <w:rPr>
                <w:rFonts w:hint="default" w:ascii="宋体" w:hAnsi="宋体" w:cs="宋体"/>
                <w:sz w:val="21"/>
                <w:szCs w:val="21"/>
                <w:lang w:val="en-US" w:eastAsia="zh-CN"/>
              </w:rPr>
            </w:pPr>
            <w:r>
              <w:rPr>
                <w:rFonts w:hint="eastAsia" w:ascii="宋体" w:hAnsi="宋体" w:cs="宋体"/>
                <w:sz w:val="21"/>
                <w:szCs w:val="21"/>
                <w:lang w:val="en-US" w:eastAsia="zh-CN"/>
              </w:rPr>
              <w:t>中信银行股份有限公司芜湖分行与芜湖松鸿金属制品有限公司调解协议（二审）</w:t>
            </w:r>
          </w:p>
        </w:tc>
        <w:tc>
          <w:tcPr>
            <w:tcW w:w="5774" w:type="dxa"/>
          </w:tcPr>
          <w:p>
            <w:pPr>
              <w:keepNext w:val="0"/>
              <w:keepLines w:val="0"/>
              <w:pageBreakBefore w:val="0"/>
              <w:kinsoku/>
              <w:wordWrap/>
              <w:overflowPunct/>
              <w:topLinePunct w:val="0"/>
              <w:autoSpaceDE/>
              <w:autoSpaceDN/>
              <w:bidi w:val="0"/>
              <w:adjustRightInd/>
              <w:snapToGrid/>
              <w:spacing w:line="300" w:lineRule="exact"/>
              <w:textAlignment w:val="auto"/>
              <w:rPr>
                <w:rFonts w:hint="default" w:ascii="宋体" w:hAnsi="宋体" w:cs="宋体"/>
                <w:sz w:val="21"/>
                <w:szCs w:val="21"/>
                <w:lang w:val="en-US" w:eastAsia="zh-CN"/>
              </w:rPr>
            </w:pPr>
            <w:r>
              <w:rPr>
                <w:rFonts w:hint="eastAsia" w:ascii="宋体" w:hAnsi="宋体" w:cs="宋体"/>
                <w:sz w:val="21"/>
                <w:szCs w:val="21"/>
                <w:lang w:val="en-US" w:eastAsia="zh-CN"/>
              </w:rPr>
              <w:t>（1）证明被申请人芜湖松鸿有限公司在实际占有申请人案涉房屋期间未支付第三人租金，也未向中信银行股份有限公司芜湖分行支付任何费用；（2）两份调解书仅约定案涉#1、#2厂房，未约定案涉#3、#4厂房及#2宿舍楼，生效判决确定案涉房屋租金标准错误。</w:t>
            </w:r>
            <w:bookmarkStart w:id="0" w:name="_GoBack"/>
            <w:bookmarkEnd w:id="0"/>
          </w:p>
        </w:tc>
        <w:tc>
          <w:tcPr>
            <w:tcW w:w="567" w:type="dxa"/>
            <w:vAlign w:val="center"/>
          </w:tcPr>
          <w:p>
            <w:pPr>
              <w:keepNext w:val="0"/>
              <w:keepLines w:val="0"/>
              <w:pageBreakBefore w:val="0"/>
              <w:kinsoku/>
              <w:wordWrap/>
              <w:overflowPunct/>
              <w:topLinePunct w:val="0"/>
              <w:autoSpaceDE/>
              <w:autoSpaceDN/>
              <w:bidi w:val="0"/>
              <w:adjustRightInd/>
              <w:snapToGrid/>
              <w:spacing w:line="300" w:lineRule="exact"/>
              <w:textAlignment w:val="auto"/>
              <w:rPr>
                <w:rFonts w:hint="default" w:ascii="宋体" w:hAnsi="宋体" w:cs="宋体"/>
                <w:sz w:val="21"/>
                <w:szCs w:val="21"/>
                <w:lang w:val="en-US" w:eastAsia="zh-CN"/>
              </w:rPr>
            </w:pPr>
            <w:r>
              <w:rPr>
                <w:rFonts w:hint="eastAsia" w:ascii="宋体" w:hAnsi="宋体" w:cs="宋体"/>
                <w:sz w:val="21"/>
                <w:szCs w:val="21"/>
                <w:lang w:val="en-US" w:eastAsia="zh-CN"/>
              </w:rPr>
              <w:t>36-37页</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33747"/>
    <w:rsid w:val="63033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2022-04-02T06:08:00Z</dcterms:created>
  <dc:creator>chengtao</dc:creator>
  <cp:lastModifiedBy>chengtao</cp:lastModifiedBy>
  <cp:lastPrinted>2022-04-02T07:14:46Z</cp:lastPrinted>
  <dcterms:modified xsi:type="dcterms:W3CDTF">2022-04-02T07:40:52Z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