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2EE7293">
      <w:pPr>
        <w:spacing w:after="62" w:line="360" w:lineRule="auto"/>
        <w:jc w:val="center"/>
      </w:pPr>
      <w:r>
        <w:t xml:space="preserve">  </w:t>
      </w:r>
    </w:p>
    <w:p w14:paraId="205FC78D">
      <w:pPr>
        <w:spacing w:after="62" w:line="360" w:lineRule="auto"/>
        <w:jc w:val="center"/>
      </w:pPr>
    </w:p>
    <w:p w14:paraId="10BDB0F0">
      <w:pPr>
        <w:spacing w:after="62" w:line="360" w:lineRule="auto"/>
        <w:jc w:val="center"/>
      </w:pPr>
    </w:p>
    <w:p w14:paraId="50A7A89E">
      <w:pPr>
        <w:spacing w:after="62" w:line="360" w:lineRule="auto"/>
        <w:jc w:val="center"/>
      </w:pPr>
    </w:p>
    <w:p w14:paraId="2FEA27B5">
      <w:pPr>
        <w:spacing w:after="62" w:line="360" w:lineRule="auto"/>
        <w:jc w:val="center"/>
        <w:rPr>
          <w:rFonts w:hint="eastAsia"/>
        </w:rPr>
      </w:pPr>
    </w:p>
    <w:p w14:paraId="1C30D1A8">
      <w:pPr>
        <w:spacing w:after="62" w:line="360" w:lineRule="auto"/>
        <w:jc w:val="center"/>
        <w:rPr>
          <w:rFonts w:hint="eastAsia"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《区块链技术》大作业</w:t>
      </w:r>
    </w:p>
    <w:p w14:paraId="53AD46E5">
      <w:pPr>
        <w:jc w:val="center"/>
        <w:rPr>
          <w:rFonts w:eastAsia="仿宋_GB2312"/>
          <w:sz w:val="30"/>
          <w:szCs w:val="30"/>
        </w:rPr>
      </w:pPr>
      <w:r>
        <w:rPr>
          <w:rFonts w:eastAsia="仿宋_GB2312"/>
          <w:sz w:val="30"/>
          <w:szCs w:val="30"/>
        </w:rPr>
        <w:t>（202</w:t>
      </w:r>
      <w:r>
        <w:rPr>
          <w:rFonts w:hint="eastAsia" w:eastAsia="仿宋_GB2312"/>
          <w:sz w:val="30"/>
          <w:szCs w:val="30"/>
        </w:rPr>
        <w:t>5</w:t>
      </w:r>
      <w:r>
        <w:rPr>
          <w:rFonts w:eastAsia="仿宋_GB2312"/>
          <w:sz w:val="30"/>
          <w:szCs w:val="30"/>
        </w:rPr>
        <w:t>—202</w:t>
      </w:r>
      <w:r>
        <w:rPr>
          <w:rFonts w:hint="eastAsia" w:eastAsia="仿宋_GB2312"/>
          <w:sz w:val="30"/>
          <w:szCs w:val="30"/>
        </w:rPr>
        <w:t>6</w:t>
      </w:r>
      <w:r>
        <w:rPr>
          <w:rFonts w:eastAsia="仿宋_GB2312"/>
          <w:sz w:val="30"/>
          <w:szCs w:val="30"/>
        </w:rPr>
        <w:t>学年第1学期）</w:t>
      </w:r>
    </w:p>
    <w:p w14:paraId="6183B521">
      <w:pPr>
        <w:tabs>
          <w:tab w:val="left" w:pos="2520"/>
          <w:tab w:val="left" w:pos="7740"/>
        </w:tabs>
        <w:spacing w:line="360" w:lineRule="auto"/>
        <w:rPr>
          <w:rFonts w:hint="eastAsia" w:ascii="黑体" w:eastAsia="黑体"/>
          <w:b/>
          <w:sz w:val="32"/>
          <w:szCs w:val="32"/>
          <w:u w:val="single"/>
        </w:rPr>
      </w:pPr>
    </w:p>
    <w:p w14:paraId="3B12201A">
      <w:pPr>
        <w:tabs>
          <w:tab w:val="left" w:pos="2340"/>
          <w:tab w:val="left" w:pos="7740"/>
        </w:tabs>
        <w:spacing w:line="720" w:lineRule="exact"/>
        <w:ind w:firstLine="720" w:firstLineChars="225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 xml:space="preserve">    题目：</w:t>
      </w:r>
      <w:r>
        <w:rPr>
          <w:rFonts w:hint="eastAsia" w:ascii="黑体" w:eastAsia="黑体"/>
          <w:sz w:val="32"/>
          <w:u w:val="thick"/>
        </w:rPr>
        <w:t xml:space="preserve">                                 </w:t>
      </w:r>
    </w:p>
    <w:p w14:paraId="07D0BF9F">
      <w:pPr>
        <w:spacing w:line="720" w:lineRule="exact"/>
        <w:ind w:firstLine="896" w:firstLineChars="280"/>
        <w:rPr>
          <w:rFonts w:hint="eastAsia" w:ascii="楷体_GB2312"/>
          <w:sz w:val="32"/>
        </w:rPr>
      </w:pPr>
      <w:r>
        <w:rPr>
          <w:rFonts w:hint="eastAsia" w:ascii="楷体_GB2312"/>
          <w:sz w:val="32"/>
        </w:rPr>
        <w:t xml:space="preserve"> </w:t>
      </w:r>
    </w:p>
    <w:p w14:paraId="6666C376">
      <w:pPr>
        <w:spacing w:line="720" w:lineRule="exact"/>
        <w:ind w:firstLine="1280" w:firstLineChars="400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学生姓名</w:t>
      </w:r>
      <w:r>
        <w:rPr>
          <w:rFonts w:hint="eastAsia"/>
          <w:sz w:val="32"/>
        </w:rPr>
        <w:t>：</w:t>
      </w:r>
      <w:r>
        <w:rPr>
          <w:rFonts w:hint="eastAsia" w:ascii="黑体" w:eastAsia="黑体"/>
          <w:sz w:val="32"/>
          <w:u w:val="single"/>
        </w:rPr>
        <w:t xml:space="preserve">      </w:t>
      </w:r>
      <w:r>
        <w:rPr>
          <w:rFonts w:hint="eastAsia"/>
          <w:sz w:val="32"/>
          <w:u w:val="single"/>
        </w:rPr>
        <w:t xml:space="preserve">           </w:t>
      </w:r>
      <w:r>
        <w:rPr>
          <w:rFonts w:hint="eastAsia" w:ascii="楷体_GB2312"/>
          <w:sz w:val="32"/>
          <w:u w:val="single"/>
        </w:rPr>
        <w:t xml:space="preserve">            </w:t>
      </w:r>
    </w:p>
    <w:p w14:paraId="442A2F5B">
      <w:pPr>
        <w:spacing w:line="720" w:lineRule="exact"/>
        <w:ind w:firstLine="1280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学    号</w:t>
      </w:r>
      <w:r>
        <w:rPr>
          <w:rFonts w:hint="eastAsia" w:ascii="楷体_GB2312"/>
          <w:sz w:val="32"/>
        </w:rPr>
        <w:t>：</w:t>
      </w:r>
      <w:r>
        <w:rPr>
          <w:rFonts w:hint="eastAsia" w:ascii="宋体" w:hAnsi="宋体"/>
          <w:sz w:val="32"/>
          <w:u w:val="single"/>
        </w:rPr>
        <w:t xml:space="preserve">                             </w:t>
      </w:r>
    </w:p>
    <w:p w14:paraId="14D2CB7D">
      <w:pPr>
        <w:spacing w:line="720" w:lineRule="exact"/>
        <w:ind w:firstLine="1280" w:firstLineChars="400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专    业</w:t>
      </w:r>
      <w:r>
        <w:rPr>
          <w:rFonts w:hint="eastAsia"/>
          <w:sz w:val="32"/>
        </w:rPr>
        <w:t>：</w:t>
      </w:r>
      <w:r>
        <w:rPr>
          <w:rFonts w:hint="eastAsia" w:ascii="黑体" w:eastAsia="黑体"/>
          <w:sz w:val="32"/>
          <w:u w:val="single"/>
        </w:rPr>
        <w:t xml:space="preserve">                   </w:t>
      </w:r>
      <w:r>
        <w:rPr>
          <w:rFonts w:hint="eastAsia" w:ascii="宋体" w:hAnsi="宋体"/>
          <w:sz w:val="32"/>
          <w:u w:val="single"/>
        </w:rPr>
        <w:t xml:space="preserve">          </w:t>
      </w:r>
    </w:p>
    <w:p w14:paraId="7D4F382D">
      <w:pPr>
        <w:spacing w:line="720" w:lineRule="exact"/>
        <w:ind w:firstLine="1280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班    级</w:t>
      </w:r>
      <w:r>
        <w:rPr>
          <w:rFonts w:hint="eastAsia" w:ascii="楷体_GB2312"/>
          <w:sz w:val="32"/>
        </w:rPr>
        <w:t>：</w:t>
      </w:r>
      <w:r>
        <w:rPr>
          <w:rFonts w:hint="eastAsia" w:ascii="黑体" w:eastAsia="黑体"/>
          <w:sz w:val="32"/>
          <w:u w:val="single"/>
        </w:rPr>
        <w:t xml:space="preserve">       网络2201           </w:t>
      </w:r>
      <w:r>
        <w:rPr>
          <w:rFonts w:hint="eastAsia" w:ascii="宋体" w:hAnsi="宋体"/>
          <w:sz w:val="32"/>
          <w:u w:val="single"/>
        </w:rPr>
        <w:t xml:space="preserve">   </w:t>
      </w:r>
    </w:p>
    <w:p w14:paraId="4EF5AFF6">
      <w:pPr>
        <w:ind w:firstLine="1280" w:firstLineChars="400"/>
        <w:rPr>
          <w:rFonts w:hint="eastAsia" w:ascii="黑体" w:eastAsia="黑体"/>
          <w:sz w:val="32"/>
        </w:rPr>
      </w:pPr>
    </w:p>
    <w:p w14:paraId="0DF91B96">
      <w:pPr>
        <w:ind w:firstLine="1285" w:firstLineChars="400"/>
        <w:rPr>
          <w:rFonts w:hint="eastAsia" w:ascii="黑体" w:hAnsi="宋体" w:eastAsia="黑体"/>
          <w:b/>
          <w:sz w:val="32"/>
        </w:rPr>
      </w:pPr>
    </w:p>
    <w:p w14:paraId="41097C15">
      <w:pPr>
        <w:jc w:val="center"/>
        <w:rPr>
          <w:rFonts w:hint="eastAsia" w:ascii="黑体" w:hAnsi="宋体" w:eastAsia="黑体"/>
          <w:bCs/>
          <w:sz w:val="32"/>
        </w:rPr>
      </w:pPr>
      <w:r>
        <w:rPr>
          <w:rFonts w:hint="eastAsia" w:ascii="黑体" w:hAnsi="宋体" w:eastAsia="黑体"/>
          <w:bCs/>
          <w:sz w:val="32"/>
        </w:rPr>
        <w:t>完成时间：2025年 10月27日</w:t>
      </w:r>
    </w:p>
    <w:p w14:paraId="36F78230">
      <w:pPr>
        <w:jc w:val="center"/>
        <w:rPr>
          <w:rFonts w:hint="eastAsia" w:ascii="黑体" w:hAnsi="宋体" w:eastAsia="黑体"/>
          <w:bCs/>
          <w:sz w:val="32"/>
        </w:rPr>
      </w:pPr>
      <w:r>
        <w:rPr>
          <w:rFonts w:hint="eastAsia" w:ascii="黑体" w:hAnsi="宋体" w:eastAsia="黑体"/>
          <w:bCs/>
          <w:sz w:val="32"/>
        </w:rPr>
        <w:br w:type="page"/>
      </w:r>
    </w:p>
    <w:p w14:paraId="74703E4F">
      <w:pPr>
        <w:jc w:val="center"/>
        <w:rPr>
          <w:b/>
          <w:sz w:val="32"/>
          <w:szCs w:val="32"/>
          <w:lang w:bidi="ar"/>
        </w:rPr>
      </w:pPr>
      <w:r>
        <w:rPr>
          <w:b/>
          <w:sz w:val="32"/>
          <w:szCs w:val="32"/>
          <w:lang w:bidi="ar"/>
        </w:rPr>
        <w:t>202</w:t>
      </w:r>
      <w:r>
        <w:rPr>
          <w:rFonts w:hint="eastAsia"/>
          <w:b/>
          <w:sz w:val="32"/>
          <w:szCs w:val="32"/>
          <w:lang w:bidi="ar"/>
        </w:rPr>
        <w:t>5</w:t>
      </w:r>
      <w:r>
        <w:rPr>
          <w:b/>
          <w:sz w:val="32"/>
          <w:szCs w:val="32"/>
          <w:lang w:bidi="ar"/>
        </w:rPr>
        <w:t>-202</w:t>
      </w:r>
      <w:r>
        <w:rPr>
          <w:rFonts w:hint="eastAsia"/>
          <w:b/>
          <w:sz w:val="32"/>
          <w:szCs w:val="32"/>
          <w:lang w:bidi="ar"/>
        </w:rPr>
        <w:t>6</w:t>
      </w:r>
      <w:r>
        <w:rPr>
          <w:b/>
          <w:sz w:val="32"/>
          <w:szCs w:val="32"/>
          <w:lang w:bidi="ar"/>
        </w:rPr>
        <w:t>学年第</w:t>
      </w:r>
      <w:r>
        <w:rPr>
          <w:rFonts w:hint="eastAsia"/>
          <w:b/>
          <w:sz w:val="32"/>
          <w:szCs w:val="32"/>
          <w:lang w:bidi="ar"/>
        </w:rPr>
        <w:t>1</w:t>
      </w:r>
      <w:r>
        <w:rPr>
          <w:b/>
          <w:sz w:val="32"/>
          <w:szCs w:val="32"/>
          <w:lang w:bidi="ar"/>
        </w:rPr>
        <w:t>学期《</w:t>
      </w:r>
      <w:r>
        <w:rPr>
          <w:rFonts w:hint="eastAsia"/>
          <w:b/>
          <w:sz w:val="32"/>
          <w:szCs w:val="32"/>
          <w:lang w:bidi="ar"/>
        </w:rPr>
        <w:t>区块链</w:t>
      </w:r>
      <w:r>
        <w:rPr>
          <w:b/>
          <w:sz w:val="32"/>
          <w:szCs w:val="32"/>
          <w:lang w:bidi="ar"/>
        </w:rPr>
        <w:t>技术》</w:t>
      </w:r>
      <w:r>
        <w:rPr>
          <w:rFonts w:hint="eastAsia"/>
          <w:b/>
          <w:sz w:val="32"/>
          <w:szCs w:val="32"/>
          <w:lang w:bidi="ar"/>
        </w:rPr>
        <w:t>大作业</w:t>
      </w:r>
      <w:r>
        <w:rPr>
          <w:b/>
          <w:sz w:val="32"/>
          <w:szCs w:val="32"/>
          <w:lang w:bidi="ar"/>
        </w:rPr>
        <w:t>评分标准</w:t>
      </w:r>
    </w:p>
    <w:tbl>
      <w:tblPr>
        <w:tblStyle w:val="6"/>
        <w:tblW w:w="0" w:type="auto"/>
        <w:tblInd w:w="534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6193"/>
        <w:gridCol w:w="660"/>
        <w:gridCol w:w="569"/>
      </w:tblGrid>
      <w:tr w14:paraId="7E8124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9" w:type="dxa"/>
          <w:trHeight w:val="431" w:hRule="atLeast"/>
        </w:trPr>
        <w:tc>
          <w:tcPr>
            <w:tcW w:w="2409" w:type="dxa"/>
            <w:vAlign w:val="center"/>
          </w:tcPr>
          <w:p w14:paraId="01158B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课程</w:t>
            </w:r>
          </w:p>
        </w:tc>
        <w:tc>
          <w:tcPr>
            <w:tcW w:w="11340" w:type="dxa"/>
            <w:gridSpan w:val="2"/>
            <w:vAlign w:val="center"/>
          </w:tcPr>
          <w:p w14:paraId="6B6B1D5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区块链</w:t>
            </w:r>
            <w:r>
              <w:rPr>
                <w:b/>
                <w:bCs/>
              </w:rPr>
              <w:t>技术</w:t>
            </w:r>
          </w:p>
        </w:tc>
      </w:tr>
      <w:tr w14:paraId="3B93C6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9" w:type="dxa"/>
          <w:trHeight w:val="431" w:hRule="atLeast"/>
        </w:trPr>
        <w:tc>
          <w:tcPr>
            <w:tcW w:w="13749" w:type="dxa"/>
            <w:gridSpan w:val="3"/>
            <w:vAlign w:val="center"/>
          </w:tcPr>
          <w:p w14:paraId="2CDD5EC5">
            <w:pPr>
              <w:rPr>
                <w:b/>
                <w:bCs/>
              </w:rPr>
            </w:pPr>
            <w:r>
              <w:rPr>
                <w:b/>
                <w:bCs/>
              </w:rPr>
              <w:t>大作业评分标准及得分情况（大作业能结合所学课程、联系性强。）</w:t>
            </w:r>
          </w:p>
        </w:tc>
      </w:tr>
      <w:tr w14:paraId="462AA6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9" w:type="dxa"/>
          <w:trHeight w:val="439" w:hRule="atLeast"/>
        </w:trPr>
        <w:tc>
          <w:tcPr>
            <w:tcW w:w="2409" w:type="dxa"/>
            <w:vAlign w:val="center"/>
          </w:tcPr>
          <w:p w14:paraId="0D6462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10490" w:type="dxa"/>
            <w:vAlign w:val="center"/>
          </w:tcPr>
          <w:p w14:paraId="4A724C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项目评分标准</w:t>
            </w:r>
          </w:p>
        </w:tc>
        <w:tc>
          <w:tcPr>
            <w:tcW w:w="850" w:type="dxa"/>
            <w:vAlign w:val="center"/>
          </w:tcPr>
          <w:p w14:paraId="793C82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得分</w:t>
            </w:r>
          </w:p>
        </w:tc>
      </w:tr>
      <w:tr w14:paraId="472F471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9" w:type="dxa"/>
        </w:trPr>
        <w:tc>
          <w:tcPr>
            <w:tcW w:w="2409" w:type="dxa"/>
            <w:vAlign w:val="center"/>
          </w:tcPr>
          <w:p w14:paraId="148316A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系统技术实现</w:t>
            </w:r>
            <w:r>
              <w:rPr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35</w:t>
            </w:r>
            <w:r>
              <w:rPr>
                <w:b/>
                <w:bCs/>
              </w:rPr>
              <w:t>分）</w:t>
            </w:r>
          </w:p>
        </w:tc>
        <w:tc>
          <w:tcPr>
            <w:tcW w:w="10490" w:type="dxa"/>
            <w:vAlign w:val="top"/>
          </w:tcPr>
          <w:p w14:paraId="07693B98">
            <w:pPr>
              <w:spacing w:line="280" w:lineRule="exact"/>
            </w:pPr>
            <w:r>
              <w:t>1、报告目的明确，</w:t>
            </w:r>
            <w:r>
              <w:rPr>
                <w:rFonts w:hint="eastAsia"/>
              </w:rPr>
              <w:t>能实现区块链核心功能，</w:t>
            </w:r>
            <w:r>
              <w:t>具有重要的理论意义和现实意义，书写规范整洁，质量好（</w:t>
            </w:r>
            <w:r>
              <w:rPr>
                <w:rFonts w:hint="eastAsia"/>
              </w:rPr>
              <w:t>21</w:t>
            </w:r>
            <w:r>
              <w:t>-</w:t>
            </w:r>
            <w:r>
              <w:rPr>
                <w:rFonts w:hint="eastAsia"/>
              </w:rPr>
              <w:t>3</w:t>
            </w:r>
            <w:r>
              <w:t>5分）</w:t>
            </w:r>
          </w:p>
          <w:p w14:paraId="206E9835">
            <w:pPr>
              <w:spacing w:line="280" w:lineRule="exact"/>
            </w:pPr>
            <w:r>
              <w:t>2、报告目的比较明确，</w:t>
            </w:r>
            <w:r>
              <w:rPr>
                <w:rFonts w:hint="eastAsia"/>
              </w:rPr>
              <w:t>能实现区块链核心功能，</w:t>
            </w:r>
            <w:r>
              <w:t>有一定的理论和现实意义，书写规范整洁，质量较好（</w:t>
            </w:r>
            <w:r>
              <w:rPr>
                <w:rFonts w:hint="eastAsia"/>
              </w:rPr>
              <w:t>11</w:t>
            </w:r>
            <w:r>
              <w:t>-</w:t>
            </w:r>
            <w:r>
              <w:rPr>
                <w:rFonts w:hint="eastAsia"/>
              </w:rPr>
              <w:t>20</w:t>
            </w:r>
            <w:r>
              <w:t>分）</w:t>
            </w:r>
          </w:p>
          <w:p w14:paraId="59C5EDB0">
            <w:pPr>
              <w:spacing w:line="280" w:lineRule="exact"/>
            </w:pPr>
            <w:r>
              <w:t>3、报告目的基本明确，</w:t>
            </w:r>
            <w:r>
              <w:rPr>
                <w:rFonts w:hint="eastAsia"/>
              </w:rPr>
              <w:t>能实现区块链核心功能，</w:t>
            </w:r>
            <w:r>
              <w:t>具有理论意义和现实意义，书写基本规范，质量一般（0-</w:t>
            </w:r>
            <w:r>
              <w:rPr>
                <w:rFonts w:hint="eastAsia"/>
              </w:rPr>
              <w:t>10</w:t>
            </w:r>
            <w:r>
              <w:t>分）</w:t>
            </w:r>
          </w:p>
        </w:tc>
        <w:tc>
          <w:tcPr>
            <w:tcW w:w="850" w:type="dxa"/>
            <w:vAlign w:val="center"/>
          </w:tcPr>
          <w:p w14:paraId="7196AA17">
            <w:pPr>
              <w:jc w:val="center"/>
            </w:pPr>
          </w:p>
        </w:tc>
      </w:tr>
      <w:tr w14:paraId="409E21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9" w:type="dxa"/>
        </w:trPr>
        <w:tc>
          <w:tcPr>
            <w:tcW w:w="2409" w:type="dxa"/>
            <w:vAlign w:val="center"/>
          </w:tcPr>
          <w:p w14:paraId="1EDBE8F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应用</w:t>
            </w:r>
            <w:r>
              <w:rPr>
                <w:b/>
                <w:bCs/>
              </w:rPr>
              <w:t>创新</w:t>
            </w:r>
            <w:r>
              <w:rPr>
                <w:rFonts w:hint="eastAsia"/>
                <w:b/>
                <w:bCs/>
              </w:rPr>
              <w:t>价值</w:t>
            </w:r>
            <w:r>
              <w:rPr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0分）</w:t>
            </w:r>
          </w:p>
        </w:tc>
        <w:tc>
          <w:tcPr>
            <w:tcW w:w="10490" w:type="dxa"/>
            <w:vAlign w:val="top"/>
          </w:tcPr>
          <w:p w14:paraId="23185108">
            <w:pPr>
              <w:numPr>
                <w:ilvl w:val="0"/>
                <w:numId w:val="1"/>
              </w:numPr>
              <w:spacing w:line="280" w:lineRule="exact"/>
            </w:pPr>
            <w:r>
              <w:t>报告特色鲜明，</w:t>
            </w:r>
            <w:r>
              <w:rPr>
                <w:rFonts w:hint="eastAsia"/>
              </w:rPr>
              <w:t>有针对性和创新型，包括技术改进（如新型共识机制或智能合约设计），结合行业痛点提出解</w:t>
            </w:r>
          </w:p>
          <w:p w14:paraId="690D767B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决方案</w:t>
            </w:r>
            <w:r>
              <w:t>，对问题理解正确，分析详尽准确（</w:t>
            </w:r>
            <w:r>
              <w:rPr>
                <w:rFonts w:hint="eastAsia"/>
              </w:rPr>
              <w:t>15</w:t>
            </w:r>
            <w:r>
              <w:t>-</w:t>
            </w:r>
            <w:r>
              <w:rPr>
                <w:rFonts w:hint="eastAsia"/>
              </w:rPr>
              <w:t>20</w:t>
            </w:r>
            <w:r>
              <w:t>分）</w:t>
            </w:r>
          </w:p>
          <w:p w14:paraId="5FFF3F22">
            <w:pPr>
              <w:spacing w:line="280" w:lineRule="exact"/>
            </w:pPr>
            <w:r>
              <w:t>2、报告目的比较鲜明，</w:t>
            </w:r>
            <w:r>
              <w:rPr>
                <w:rFonts w:hint="eastAsia"/>
              </w:rPr>
              <w:t>包括技术改进（如新型共识机制或智能合约设计），结合行业痛点提出解决方案，</w:t>
            </w:r>
            <w:r>
              <w:t>有一定的创新型，对问题理解比较正确，分析准确（11-</w:t>
            </w:r>
            <w:r>
              <w:rPr>
                <w:rFonts w:hint="eastAsia"/>
              </w:rPr>
              <w:t>15</w:t>
            </w:r>
            <w:r>
              <w:t>分）</w:t>
            </w:r>
          </w:p>
          <w:p w14:paraId="06FE0F5A">
            <w:pPr>
              <w:spacing w:line="280" w:lineRule="exact"/>
            </w:pPr>
            <w:r>
              <w:t>3、报告特色一般，</w:t>
            </w:r>
            <w:r>
              <w:rPr>
                <w:rFonts w:hint="eastAsia"/>
              </w:rPr>
              <w:t>包括技术改进（如新型共识机制或智能合约设计），结合行业痛点提出解决方案，</w:t>
            </w:r>
            <w:r>
              <w:t>具有理论意义和现实意义，对问题理解基本正确（0-10分）</w:t>
            </w:r>
          </w:p>
        </w:tc>
        <w:tc>
          <w:tcPr>
            <w:tcW w:w="850" w:type="dxa"/>
            <w:vAlign w:val="center"/>
          </w:tcPr>
          <w:p w14:paraId="1950C085">
            <w:pPr>
              <w:jc w:val="center"/>
            </w:pPr>
          </w:p>
        </w:tc>
      </w:tr>
      <w:tr w14:paraId="052BEF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9" w:type="dxa"/>
        </w:trPr>
        <w:tc>
          <w:tcPr>
            <w:tcW w:w="2409" w:type="dxa"/>
            <w:vAlign w:val="center"/>
          </w:tcPr>
          <w:p w14:paraId="4ACF22C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系统逻辑</w:t>
            </w:r>
            <w:r>
              <w:rPr>
                <w:b/>
                <w:bCs/>
              </w:rPr>
              <w:t>结构（</w:t>
            </w:r>
            <w:r>
              <w:rPr>
                <w:rFonts w:hint="eastAsia"/>
                <w:b/>
                <w:bCs/>
              </w:rPr>
              <w:t>30</w:t>
            </w:r>
            <w:r>
              <w:rPr>
                <w:b/>
                <w:bCs/>
              </w:rPr>
              <w:t>分）</w:t>
            </w:r>
          </w:p>
        </w:tc>
        <w:tc>
          <w:tcPr>
            <w:tcW w:w="10490" w:type="dxa"/>
            <w:vAlign w:val="top"/>
          </w:tcPr>
          <w:p w14:paraId="3AFA34CC">
            <w:pPr>
              <w:spacing w:line="280" w:lineRule="exact"/>
            </w:pPr>
            <w:r>
              <w:t>1、报告结构完整，逻辑严密，层次清晰，</w:t>
            </w:r>
            <w:r>
              <w:rPr>
                <w:rFonts w:hint="eastAsia"/>
              </w:rPr>
              <w:t>代码符合编程规范（如Rust或Solidity最佳实践），注释清晰且可维护，</w:t>
            </w:r>
            <w:r>
              <w:t>对问题理解正确（</w:t>
            </w:r>
            <w:r>
              <w:rPr>
                <w:rFonts w:hint="eastAsia"/>
              </w:rPr>
              <w:t>20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>分）</w:t>
            </w:r>
          </w:p>
          <w:p w14:paraId="01C6FD92">
            <w:pPr>
              <w:spacing w:line="280" w:lineRule="exact"/>
            </w:pPr>
            <w:r>
              <w:t>2、报告结构较完整，具有一定的逻辑严密，层次清晰，</w:t>
            </w:r>
            <w:r>
              <w:rPr>
                <w:rFonts w:hint="eastAsia"/>
              </w:rPr>
              <w:t>代码符合编程规范（如Rust或Solidity最佳实践），注释清晰且可维护，</w:t>
            </w:r>
            <w:r>
              <w:t>对问题理解比较正确（11-</w:t>
            </w:r>
            <w:r>
              <w:rPr>
                <w:rFonts w:hint="eastAsia"/>
              </w:rPr>
              <w:t>19</w:t>
            </w:r>
            <w:r>
              <w:t>分）</w:t>
            </w:r>
          </w:p>
          <w:p w14:paraId="2EEC4A6E">
            <w:pPr>
              <w:spacing w:line="280" w:lineRule="exact"/>
            </w:pPr>
            <w:r>
              <w:t>3、报告结构较一般，具有逻辑严密和层次，</w:t>
            </w:r>
            <w:r>
              <w:rPr>
                <w:rFonts w:hint="eastAsia"/>
              </w:rPr>
              <w:t>代码符合编程规范（如Rust或Solidity最佳实践），注释清晰且可维护，</w:t>
            </w:r>
            <w:r>
              <w:t>对问题理解基本正确（0-10分）</w:t>
            </w:r>
          </w:p>
        </w:tc>
        <w:tc>
          <w:tcPr>
            <w:tcW w:w="850" w:type="dxa"/>
            <w:vAlign w:val="center"/>
          </w:tcPr>
          <w:p w14:paraId="74780622">
            <w:pPr>
              <w:jc w:val="center"/>
            </w:pPr>
          </w:p>
        </w:tc>
      </w:tr>
      <w:tr w14:paraId="776F38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9" w:type="dxa"/>
        </w:trPr>
        <w:tc>
          <w:tcPr>
            <w:tcW w:w="2409" w:type="dxa"/>
            <w:vAlign w:val="center"/>
          </w:tcPr>
          <w:p w14:paraId="0575F74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系统</w:t>
            </w:r>
            <w:r>
              <w:rPr>
                <w:b/>
                <w:bCs/>
              </w:rPr>
              <w:t>规范性</w:t>
            </w:r>
          </w:p>
          <w:p w14:paraId="563DCB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（15分）</w:t>
            </w:r>
          </w:p>
        </w:tc>
        <w:tc>
          <w:tcPr>
            <w:tcW w:w="10490" w:type="dxa"/>
            <w:vAlign w:val="top"/>
          </w:tcPr>
          <w:p w14:paraId="1C715CC7">
            <w:pPr>
              <w:spacing w:line="280" w:lineRule="exact"/>
            </w:pPr>
            <w:r>
              <w:t>1、报告提要、关键词、正文、语言、参考文献等规范，</w:t>
            </w:r>
            <w:r>
              <w:rPr>
                <w:rFonts w:hint="eastAsia"/>
              </w:rPr>
              <w:t>包含需求分析、架构设计、详细实现说明及测试报告，逻辑清晰、结构完整且语言规范</w:t>
            </w:r>
            <w:r>
              <w:t>结论总结具有学术性（11-15分）</w:t>
            </w:r>
          </w:p>
          <w:p w14:paraId="103A3554">
            <w:pPr>
              <w:spacing w:line="280" w:lineRule="exact"/>
            </w:pPr>
            <w:r>
              <w:t>2、报告提要、关键词、正文、语言、参考文献等基本规范，</w:t>
            </w:r>
            <w:r>
              <w:rPr>
                <w:rFonts w:hint="eastAsia"/>
              </w:rPr>
              <w:t>包含需求分析、架构设计、详细实现说明及测试报告，</w:t>
            </w:r>
            <w:r>
              <w:t>结论总结具有一定学术性（6-10分）</w:t>
            </w:r>
          </w:p>
          <w:p w14:paraId="42AFFA0D">
            <w:pPr>
              <w:spacing w:line="280" w:lineRule="exact"/>
            </w:pPr>
            <w:r>
              <w:t>3、报告提要、关键词、正文、语言、参考文献等欠规范，</w:t>
            </w:r>
            <w:r>
              <w:rPr>
                <w:rFonts w:hint="eastAsia"/>
              </w:rPr>
              <w:t>包含需求分析、架构设计、详细实现说明及测试报告，</w:t>
            </w:r>
            <w:r>
              <w:t>结论总结学术性较弱（0-5分）</w:t>
            </w:r>
          </w:p>
        </w:tc>
        <w:tc>
          <w:tcPr>
            <w:tcW w:w="850" w:type="dxa"/>
            <w:vAlign w:val="center"/>
          </w:tcPr>
          <w:p w14:paraId="27F70039">
            <w:pPr>
              <w:jc w:val="center"/>
            </w:pPr>
          </w:p>
        </w:tc>
      </w:tr>
      <w:tr w14:paraId="19E3D9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2899" w:type="dxa"/>
            <w:gridSpan w:val="3"/>
            <w:vAlign w:val="center"/>
          </w:tcPr>
          <w:p w14:paraId="6B839A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本课程最后得分（100分）</w:t>
            </w:r>
          </w:p>
        </w:tc>
        <w:tc>
          <w:tcPr>
            <w:tcW w:w="850" w:type="dxa"/>
            <w:vAlign w:val="center"/>
          </w:tcPr>
          <w:p w14:paraId="25512DFE">
            <w:pPr>
              <w:jc w:val="center"/>
            </w:pPr>
          </w:p>
        </w:tc>
      </w:tr>
      <w:tr w14:paraId="2D8F9B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9" w:type="dxa"/>
          <w:trHeight w:val="713" w:hRule="atLeast"/>
        </w:trPr>
        <w:tc>
          <w:tcPr>
            <w:tcW w:w="2409" w:type="dxa"/>
            <w:vAlign w:val="center"/>
          </w:tcPr>
          <w:p w14:paraId="60C2A4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任课教师签字</w:t>
            </w:r>
          </w:p>
        </w:tc>
        <w:tc>
          <w:tcPr>
            <w:tcW w:w="11340" w:type="dxa"/>
            <w:gridSpan w:val="2"/>
            <w:vAlign w:val="top"/>
          </w:tcPr>
          <w:p w14:paraId="77023DD6"/>
        </w:tc>
      </w:tr>
    </w:tbl>
    <w:p w14:paraId="4D9D50D0">
      <w:pPr>
        <w:jc w:val="left"/>
        <w:rPr>
          <w:bCs/>
        </w:rPr>
      </w:pPr>
    </w:p>
    <w:p w14:paraId="3DBD574A">
      <w:r>
        <w:br w:type="page"/>
      </w:r>
    </w:p>
    <w:p w14:paraId="5C0322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bCs/>
          <w:sz w:val="24"/>
          <w:szCs w:val="21"/>
        </w:rPr>
      </w:pPr>
      <w:r>
        <w:rPr>
          <w:rFonts w:hint="eastAsia"/>
          <w:bCs/>
          <w:sz w:val="24"/>
          <w:szCs w:val="21"/>
          <w:lang w:val="en-US" w:eastAsia="zh-CN"/>
        </w:rPr>
        <w:t>题目：</w:t>
      </w:r>
      <w:r>
        <w:rPr>
          <w:rFonts w:hint="eastAsia"/>
          <w:bCs/>
          <w:sz w:val="24"/>
          <w:szCs w:val="21"/>
        </w:rPr>
        <w:t>去中心化课程资源共享平台</w:t>
      </w:r>
      <w:r>
        <w:rPr>
          <w:bCs/>
          <w:sz w:val="24"/>
          <w:szCs w:val="21"/>
        </w:rPr>
        <w:t>‌</w:t>
      </w:r>
    </w:p>
    <w:p w14:paraId="5AD716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sz w:val="24"/>
        </w:rPr>
      </w:pPr>
      <w:r>
        <w:rPr>
          <w:rFonts w:hint="eastAsia"/>
          <w:bCs/>
          <w:sz w:val="24"/>
          <w:szCs w:val="21"/>
        </w:rPr>
        <w:t>要求：构建一个利用区块链的课程资料共享系统，通过通证激励用户贡献优质资源，确保版权追溯与公平分配。</w:t>
      </w:r>
    </w:p>
    <w:p w14:paraId="0F09AAA8">
      <w:pPr>
        <w:pStyle w:val="2"/>
        <w:bidi w:val="0"/>
      </w:pPr>
      <w:r>
        <w:t>一、项目背景与需求分析</w:t>
      </w:r>
    </w:p>
    <w:p w14:paraId="20F12B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行业痛点：分析传统课程资源平台（如百度文库、CSDN）存在的问题：中心化审核、创作者收益低、版权易被侵犯、数据不透明等。</w:t>
      </w:r>
    </w:p>
    <w:p w14:paraId="66C6C3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区块链应用价值：阐述区块链的去中心化、不可篡改、智能合约自动执行等特性如何解决上述痛点。</w:t>
      </w:r>
    </w:p>
    <w:p w14:paraId="1EEF7832">
      <w:pPr>
        <w:pStyle w:val="2"/>
        <w:numPr>
          <w:ilvl w:val="0"/>
          <w:numId w:val="2"/>
        </w:numPr>
        <w:bidi w:val="0"/>
        <w:rPr>
          <w:lang w:val="en-US" w:eastAsia="zh-CN"/>
        </w:rPr>
      </w:pPr>
      <w:r>
        <w:rPr>
          <w:lang w:val="en-US" w:eastAsia="zh-CN"/>
        </w:rPr>
        <w:t>技术实现方案</w:t>
      </w:r>
    </w:p>
    <w:p w14:paraId="223F171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架构设计</w:t>
      </w:r>
    </w:p>
    <w:p w14:paraId="01EE39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firstLine="240" w:firstLineChars="100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本系统采用链上（On-Chain）与链下（Off-Chain）相结合的混合架构，旨在最大化利用区块链技术优势的同时，规避其在性能和成本上的局限性。</w:t>
      </w:r>
    </w:p>
    <w:p w14:paraId="4B49F11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firstLine="240" w:firstLineChars="100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 xml:space="preserve">发起购买：用户（消费者）在前端 DApp 浏览并选择一个资源进行购买。前端调用智能合约的 grantAccess 函数，并通过 </w:t>
      </w:r>
      <w:r>
        <w:rPr>
          <w:rFonts w:hint="eastAsia" w:ascii="宋体" w:hAnsi="宋体" w:cs="宋体"/>
          <w:sz w:val="24"/>
          <w:lang w:val="en-US" w:eastAsia="zh-CN"/>
        </w:rPr>
        <w:t>Remix</w:t>
      </w:r>
      <w:r>
        <w:rPr>
          <w:rFonts w:hint="default" w:ascii="宋体" w:hAnsi="宋体" w:eastAsia="宋体" w:cs="宋体"/>
          <w:sz w:val="24"/>
          <w:lang w:val="en-US" w:eastAsia="zh-CN"/>
        </w:rPr>
        <w:t>附加相应的费用（msg.value）。</w:t>
      </w:r>
    </w:p>
    <w:p w14:paraId="0BE51BD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firstLine="240" w:firstLineChars="100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</w:p>
    <w:p w14:paraId="36994B5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firstLine="240" w:firstLineChars="100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</w:p>
    <w:p w14:paraId="239CEA1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firstLine="240" w:firstLineChars="100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支付与授权：MetaMask 请求用户确认支付。确认后，交易被发送到以太坊网络。</w:t>
      </w:r>
    </w:p>
    <w:p w14:paraId="5EFDFDA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firstLine="240" w:firstLineChars="100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</w:p>
    <w:p w14:paraId="3D441CF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firstLine="240" w:firstLineChars="100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</w:p>
    <w:p w14:paraId="350F24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firstLine="240" w:firstLineChars="100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自动分配：智能合约执行，首先验证支付金额是否正确，然后自动将费用转给资源所有者（实现了公平分配），同时在合约内部记录下购买者对该资源的访问权限（实现了权限管理）。</w:t>
      </w:r>
    </w:p>
    <w:p w14:paraId="2E81625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firstLine="240" w:firstLineChars="100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获取内容：购买成功后，前端先调用智能合约的 hasAccess 函数验证用户的访问权限。验证通过后，前端从智能合约读取到该资源的 IPFS 哈希。</w:t>
      </w:r>
    </w:p>
    <w:p w14:paraId="3EE661D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firstLine="240" w:firstLineChars="100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解密与展示：前端使用此哈希从 IPFS 网络下载加密的文件，并通过安全的方式获取解密密钥（例如，密钥在购买成功后由贡献者点对点发送），最终将解密后的内容展示给用户。</w:t>
      </w:r>
    </w:p>
    <w:p w14:paraId="58E001F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firstLine="240" w:firstLineChars="100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val="en-US" w:eastAsia="zh-CN"/>
        </w:rPr>
        <w:t>通过这种分工，我们实现了：将**“权、钱、法”（所有权、资金流转、访问规则）这些需要高度信任和透明的核心逻辑放在链上，而将“物”**（实际的文件）放在链下高效、经济的存储系统中，构成了稳健且高效的去中心化应用架构。</w:t>
      </w:r>
    </w:p>
    <w:p w14:paraId="666B26C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实现细节</w:t>
      </w:r>
    </w:p>
    <w:p w14:paraId="162AA7A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核心组件设计：</w:t>
      </w:r>
    </w:p>
    <w:p w14:paraId="5DDD25B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/>
        <w:textAlignment w:val="auto"/>
        <w:rPr>
          <w:rFonts w:hint="default" w:ascii="宋体" w:hAnsi="宋体" w:eastAsia="宋体" w:cs="宋体"/>
          <w:sz w:val="24"/>
        </w:rPr>
      </w:pPr>
      <w:r>
        <w:rPr>
          <w:rFonts w:hint="default" w:ascii="宋体" w:hAnsi="宋体" w:eastAsia="宋体" w:cs="宋体"/>
          <w:sz w:val="24"/>
        </w:rPr>
        <w:t>用户 (User)：系统的最终使用者，如课程资源的上传者（贡献者）和购买者（消费者）。</w:t>
      </w:r>
    </w:p>
    <w:p w14:paraId="54E2FB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/>
        <w:textAlignment w:val="auto"/>
        <w:rPr>
          <w:rFonts w:hint="default" w:ascii="宋体" w:hAnsi="宋体" w:eastAsia="宋体" w:cs="宋体"/>
          <w:sz w:val="24"/>
        </w:rPr>
      </w:pPr>
      <w:r>
        <w:rPr>
          <w:rFonts w:hint="default" w:ascii="宋体" w:hAnsi="宋体" w:eastAsia="宋体" w:cs="宋体"/>
          <w:sz w:val="24"/>
        </w:rPr>
        <w:t>前端 DApp (Browser)：去中心化应用的用户界面，运行在用户的浏览器中。它负责与用户进行交互，并作为连接链上和链下世界的桥梁。</w:t>
      </w:r>
    </w:p>
    <w:p w14:paraId="47EBC3C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/>
        <w:textAlignment w:val="auto"/>
        <w:rPr>
          <w:rFonts w:hint="default" w:ascii="宋体" w:hAnsi="宋体" w:eastAsia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Remix</w:t>
      </w:r>
      <w:r>
        <w:rPr>
          <w:rFonts w:hint="default" w:ascii="宋体" w:hAnsi="宋体" w:eastAsia="宋体" w:cs="宋体"/>
          <w:sz w:val="24"/>
        </w:rPr>
        <w:t>：作为浏览器插件，它管理用户的账户（私钥），并帮助用户对交易进行签名和授权，是用户在区块链世界的数字身份和钱包。</w:t>
      </w:r>
    </w:p>
    <w:p w14:paraId="43DDB5D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/>
        <w:textAlignment w:val="auto"/>
        <w:rPr>
          <w:rFonts w:hint="default" w:ascii="宋体" w:hAnsi="宋体" w:eastAsia="宋体" w:cs="宋体"/>
          <w:sz w:val="24"/>
        </w:rPr>
      </w:pPr>
      <w:r>
        <w:rPr>
          <w:rFonts w:hint="default" w:ascii="宋体" w:hAnsi="宋体" w:eastAsia="宋体" w:cs="宋体"/>
          <w:sz w:val="24"/>
        </w:rPr>
        <w:t>IPFS (链下存储)：星际文件系统（InterPlanetary File System）是一个点对点的分布式文件存储网络。它负责存储大体积的实际课程文件（如PDF、视频等）。文件存储后会返回一个唯一的哈希地址。</w:t>
      </w:r>
    </w:p>
    <w:p w14:paraId="39FDDA9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/>
        <w:textAlignment w:val="auto"/>
        <w:rPr>
          <w:rFonts w:hint="default" w:ascii="宋体" w:hAnsi="宋体" w:eastAsia="宋体" w:cs="宋体"/>
          <w:sz w:val="24"/>
        </w:rPr>
      </w:pPr>
      <w:r>
        <w:rPr>
          <w:rFonts w:hint="default" w:ascii="宋体" w:hAnsi="宋体" w:eastAsia="宋体" w:cs="宋体"/>
          <w:sz w:val="24"/>
        </w:rPr>
        <w:t>智能合约 (链上逻辑)：部署在以太坊区块链上的核心业务逻辑。它是一个不可篡改的程序，负责管理资源元数据、访问权限和价值转移，是整个系统的“信任机器”。</w:t>
      </w:r>
    </w:p>
    <w:p w14:paraId="6827FE4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/>
        <w:textAlignment w:val="auto"/>
        <w:rPr>
          <w:sz w:val="24"/>
        </w:rPr>
      </w:pPr>
      <w:r>
        <w:rPr>
          <w:rFonts w:hint="default" w:ascii="宋体" w:hAnsi="宋体" w:eastAsia="宋体" w:cs="宋体"/>
          <w:sz w:val="24"/>
        </w:rPr>
        <w:t>以太坊区块链 (链上账本)：一个公开、去中心化的账本，负责安全地记录所有交易和智能合约的状态变更。</w:t>
      </w:r>
    </w:p>
    <w:p w14:paraId="7AC9AE6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/>
        <w:textAlignment w:val="auto"/>
        <w:rPr>
          <w:sz w:val="24"/>
        </w:rPr>
      </w:pPr>
      <w:r>
        <w:rPr>
          <w:sz w:val="24"/>
        </w:rPr>
        <w:t>Resource 结构体：解释你如何设计链上存储的数据结构。</w:t>
      </w:r>
    </w:p>
    <w:p w14:paraId="143BCA9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/>
        <w:textAlignment w:val="auto"/>
        <w:rPr>
          <w:sz w:val="24"/>
        </w:rPr>
      </w:pPr>
      <w:r>
        <w:rPr>
          <w:sz w:val="24"/>
        </w:rPr>
        <w:t>addResource 函数：解释它如何实现资源信息的上链和版权的确权（msg.sender 就是作者）。</w:t>
      </w:r>
    </w:p>
    <w:p w14:paraId="4A1C4EB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grantAccess 函数：解释它如何通过 require(msg.value == resource.price) 和 resource.owner.transfer() 实现付费访问和收益的公平分配。</w:t>
      </w:r>
    </w:p>
    <w:p w14:paraId="21C2922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安全与隐私保护：说明你是如何实现隐私保护的——“通过将实际的课程文件在链下加密后存入IPFS，链上只存储文件的哈希地址，从而避免了敏感内容直接上链，保护了用户隐私。”</w:t>
      </w:r>
    </w:p>
    <w:p w14:paraId="705AAE4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性能优化：简单提一下，通过将大文件存储在链下的 IPFS，极大地降低了链上存储的成本和负担，是行业标准的性能优化方案</w:t>
      </w:r>
    </w:p>
    <w:p w14:paraId="171C9DC8">
      <w:pPr>
        <w:pStyle w:val="2"/>
        <w:bidi w:val="0"/>
      </w:pPr>
      <w:r>
        <w:t>三、创新性与应用价值</w:t>
      </w:r>
    </w:p>
    <w:p w14:paraId="1A4E2A2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创新点：本项目通过智能合约将“激励机制”和“权限管理”完全自动化和去信任化，与传统平台依赖中心化服务器进行结算和管理的模式有本质区别。</w:t>
      </w:r>
    </w:p>
    <w:p w14:paraId="67E6A21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应用价值：赋能个体知识创作者，构建一个更加公平、透明、高效的知识共享生态。</w:t>
      </w:r>
    </w:p>
    <w:p w14:paraId="675AFDD0">
      <w:pPr>
        <w:pStyle w:val="2"/>
        <w:bidi w:val="0"/>
      </w:pPr>
      <w:r>
        <w:t>四、测试与验证</w:t>
      </w:r>
    </w:p>
    <w:p w14:paraId="4FF2FED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功能测试报告：这里就是把你录制视频时的操作步骤，用文字和截图的形式写下来。</w:t>
      </w:r>
    </w:p>
    <w:p w14:paraId="6D64AC2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测试环境：Remix IDE, 测试网,。</w:t>
      </w:r>
    </w:p>
    <w:p w14:paraId="384450B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/>
      </w:pPr>
      <w:r>
        <w:t>测试用例1：上传资源。</w:t>
      </w:r>
    </w:p>
    <w:p w14:paraId="76F3218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  <w:r>
        <w:rPr>
          <w:rFonts w:hint="default"/>
        </w:rPr>
        <w:t>确认身份：确保 ACCOUNT 下拉菜单中选择的是第一个账户（余额 100 Ether）。</w:t>
      </w:r>
    </w:p>
    <w:p w14:paraId="694D7B8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  <w:r>
        <w:rPr>
          <w:rFonts w:hint="default"/>
        </w:rPr>
        <w:t>调用函数：在 "Deployed Contracts" 下找到你的合约并展开。</w:t>
      </w:r>
    </w:p>
    <w:p w14:paraId="5A3CC2A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  <w:r>
        <w:rPr>
          <w:rFonts w:hint="default"/>
        </w:rPr>
        <w:t>在 </w:t>
      </w:r>
      <w:r>
        <w:t>addResource</w:t>
      </w:r>
      <w:r>
        <w:rPr>
          <w:rFonts w:hint="default"/>
        </w:rPr>
        <w:t> 函数的输入框中填入信息：</w:t>
      </w:r>
    </w:p>
    <w:p w14:paraId="26C4B6D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</w:p>
    <w:p w14:paraId="08F6095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</w:p>
    <w:p w14:paraId="0D09700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  <w:r>
        <w:rPr>
          <w:rFonts w:hint="default"/>
        </w:rPr>
        <w:t>_name: "Introduction to Blockchain"</w:t>
      </w:r>
    </w:p>
    <w:p w14:paraId="79BFFD2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  <w:r>
        <w:rPr>
          <w:rFonts w:hint="default"/>
        </w:rPr>
        <w:t>_ipfsHash: "10000000000000000"</w:t>
      </w:r>
    </w:p>
    <w:p w14:paraId="5D82C07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  <w:r>
        <w:rPr>
          <w:rFonts w:hint="default"/>
        </w:rPr>
        <w:t>_price: 10000000000000000 </w:t>
      </w:r>
    </w:p>
    <w:p w14:paraId="1949181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  <w:r>
        <w:rPr>
          <w:rFonts w:hint="default"/>
        </w:rPr>
        <w:t>点击橙色的 "transact" 按钮。交易会立即成功。</w:t>
      </w:r>
    </w:p>
    <w:p w14:paraId="39A838D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</w:p>
    <w:p w14:paraId="569129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  <w:bookmarkStart w:id="0" w:name="_GoBack"/>
      <w:bookmarkEnd w:id="0"/>
    </w:p>
    <w:p w14:paraId="0B27EBE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  <w:r>
        <w:rPr>
          <w:rFonts w:hint="default"/>
        </w:rPr>
        <w:t>验证：点击蓝色的 resourceCount 按钮，结果应为 1。</w:t>
      </w:r>
    </w:p>
    <w:p w14:paraId="2868439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</w:rPr>
      </w:pPr>
    </w:p>
    <w:p w14:paraId="75C758A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</w:p>
    <w:p w14:paraId="3089E13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预期结果：资源信息成功上链，resourceCount 变为1。</w:t>
      </w:r>
    </w:p>
    <w:p w14:paraId="4E16F3A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pict>
          <v:shape id="_x0000_i1025" o:spt="75" alt="图片1" type="#_x0000_t75" style="height:261.2pt;width:467.35pt;" filled="f" o:preferrelative="t" stroked="f" coordsize="21600,21600">
            <v:path/>
            <v:fill on="f" focussize="0,0"/>
            <v:stroke on="f"/>
            <v:imagedata r:id="rId4" o:title="图片1"/>
            <o:lock v:ext="edit" aspectratio="t"/>
            <w10:wrap type="none"/>
            <w10:anchorlock/>
          </v:shape>
        </w:pict>
      </w:r>
    </w:p>
    <w:p w14:paraId="2745D84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测试用例2：购买资源。预期结果：Bob成功获得权限，Alice成功收到费用</w:t>
      </w:r>
    </w:p>
    <w:p w14:paraId="67C4822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pict>
          <v:shape id="_x0000_i1026" o:spt="75" alt="图片2" type="#_x0000_t75" style="height:150.4pt;width:467.3pt;" filled="f" o:preferrelative="t" stroked="f" coordsize="21600,21600">
            <v:path/>
            <v:fill on="f" focussize="0,0"/>
            <v:stroke on="f"/>
            <v:imagedata r:id="rId5" o:title="图片2"/>
            <o:lock v:ext="edit" aspectratio="t"/>
            <w10:wrap type="none"/>
            <w10:anchorlock/>
          </v:shape>
        </w:pict>
      </w:r>
    </w:p>
    <w:p w14:paraId="170147DC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参考</w:t>
      </w:r>
      <w:r>
        <w:t xml:space="preserve">文献 </w:t>
      </w:r>
    </w:p>
    <w:p w14:paraId="4AA3B09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BUTERIN V. Ethereum White Paper: A Next Generation Smart Contract and Decentralized Application Platform[EB/OL]. (2014-07-24)[2025-11-02]. </w:t>
      </w:r>
      <w:r>
        <w:fldChar w:fldCharType="begin"/>
      </w:r>
      <w:r>
        <w:instrText xml:space="preserve"> HYPERLINK "https://www.google.com/url?sa=E&amp;q=https://ethereum.org/en/whitepaper/" \t "https://aistudio.google.com/prompts/_blank" </w:instrText>
      </w:r>
      <w:r>
        <w:fldChar w:fldCharType="separate"/>
      </w:r>
      <w:r>
        <w:rPr>
          <w:rStyle w:val="8"/>
        </w:rPr>
        <w:t>https://ethereum.org/en/whitepaper/</w:t>
      </w:r>
      <w:r>
        <w:fldChar w:fldCharType="end"/>
      </w:r>
      <w:r>
        <w:t>.</w:t>
      </w:r>
    </w:p>
    <w:p w14:paraId="33074A6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WOOD G. Ethereum: A Secure Decentralised Generalised Transaction Ledger[J]. Ethereum Yellow Paper, 2022.</w:t>
      </w:r>
    </w:p>
    <w:p w14:paraId="0A1508A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Solidity Team. Solidity Language Documentation[EB/OL]. (2023-10-25)[2025-11-02]. </w:t>
      </w:r>
      <w:r>
        <w:fldChar w:fldCharType="begin"/>
      </w:r>
      <w:r>
        <w:instrText xml:space="preserve"> HYPERLINK "https://www.google.com/url?sa=E&amp;q=https://docs.soliditylang.org/" \t "https://aistudio.google.com/prompts/_blank" </w:instrText>
      </w:r>
      <w:r>
        <w:fldChar w:fldCharType="separate"/>
      </w:r>
      <w:r>
        <w:rPr>
          <w:rStyle w:val="8"/>
        </w:rPr>
        <w:t>https://docs.soliditylang.org/</w:t>
      </w:r>
      <w:r>
        <w:fldChar w:fldCharType="end"/>
      </w:r>
      <w:r>
        <w:t>.</w:t>
      </w:r>
    </w:p>
    <w:p w14:paraId="36CBDD2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BENET J. IPFS - Content Addressed, Versioned, P2P File System[EB/OL]. (2014-07-14)[2025-11-02]. </w:t>
      </w:r>
      <w:r>
        <w:fldChar w:fldCharType="begin"/>
      </w:r>
      <w:r>
        <w:instrText xml:space="preserve"> HYPERLINK "https://www.google.com/url?sa=E&amp;q=https://ipfs.tech/ipfs/QmR7GSMercury1A1ADoV9Y7zAkaCs4goUXaDBBCs-Ym5iV6w/ipfs.draft3.pdf" \t "https://aistudio.google.com/prompts/_blank" </w:instrText>
      </w:r>
      <w:r>
        <w:fldChar w:fldCharType="separate"/>
      </w:r>
      <w:r>
        <w:rPr>
          <w:rStyle w:val="8"/>
        </w:rPr>
        <w:t>https://ipfs.tech/ipfs/QmR7GSMercury1A1ADoV9Y7zAkaCs4goUXaDBBCs-Ym5iV6w/ipfs.draft3.pdf</w:t>
      </w:r>
      <w:r>
        <w:fldChar w:fldCharType="end"/>
      </w:r>
      <w:r>
        <w:t>.</w:t>
      </w:r>
    </w:p>
    <w:p w14:paraId="31771B3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NAKAMOTO S. Bitcoin: A Peer-to-Peer Electronic Cash System[EB/OL]. (2008-10-31)[2025-11-02]. </w:t>
      </w:r>
      <w:r>
        <w:fldChar w:fldCharType="begin"/>
      </w:r>
      <w:r>
        <w:instrText xml:space="preserve"> HYPERLINK "https://www.google.com/url?sa=E&amp;q=https://bitcoin.org/bitcoin.pdf" \t "https://aistudio.google.com/prompts/_blank" </w:instrText>
      </w:r>
      <w:r>
        <w:fldChar w:fldCharType="separate"/>
      </w:r>
      <w:r>
        <w:rPr>
          <w:rStyle w:val="8"/>
        </w:rPr>
        <w:t>https://bitcoin.org/bitcoin.pdf</w:t>
      </w:r>
      <w:r>
        <w:fldChar w:fldCharType="end"/>
      </w:r>
      <w:r>
        <w:t>.</w:t>
      </w:r>
    </w:p>
    <w:p w14:paraId="3AC4593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ANTONOPOULOS A M. Mastering Ethereum: Building Smart Contracts and DApps[M]. Sebastopol: O'Reilly Media, 2018.</w:t>
      </w:r>
    </w:p>
    <w:p w14:paraId="793F5B5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WANG S, WANG X, ZHANG Y. A survey on smart contract: architecture, applications, and challenges[J]. IEEE Access, 2018, 6: 64897-64908.</w:t>
      </w:r>
    </w:p>
    <w:p w14:paraId="0DD4A0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D6E9B25">
      <w:pPr>
        <w:keepNext w:val="0"/>
        <w:keepLines w:val="0"/>
        <w:widowControl/>
        <w:suppressLineNumbers w:val="0"/>
      </w:pPr>
    </w:p>
    <w:p w14:paraId="629D9EA2">
      <w:pPr>
        <w:ind w:right="848" w:rightChars="404" w:firstLine="840" w:firstLineChars="400"/>
      </w:pPr>
    </w:p>
    <w:p w14:paraId="6D5C066B">
      <w:pPr>
        <w:ind w:right="848" w:rightChars="404" w:firstLine="840" w:firstLineChars="400"/>
        <w:rPr>
          <w:rFonts w:hint="eastAsia"/>
        </w:rPr>
      </w:pPr>
    </w:p>
    <w:p w14:paraId="66D6C200">
      <w:pPr>
        <w:rPr>
          <w:b/>
          <w:sz w:val="28"/>
          <w:szCs w:val="28"/>
        </w:rPr>
      </w:pPr>
    </w:p>
    <w:sectPr>
      <w:pgSz w:w="11906" w:h="16838"/>
      <w:pgMar w:top="1134" w:right="1134" w:bottom="1134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onospace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94C4D8"/>
    <w:multiLevelType w:val="singleLevel"/>
    <w:tmpl w:val="5C94C4D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40B2ABE"/>
    <w:multiLevelType w:val="multilevel"/>
    <w:tmpl w:val="740B2ABE"/>
    <w:lvl w:ilvl="0" w:tentative="0">
      <w:start w:val="1"/>
      <w:numFmt w:val="decimal"/>
      <w:lvlText w:val="%1、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1"/>
  </w:compat>
  <w:rsids>
    <w:rsidRoot w:val="00000000"/>
    <w:rsid w:val="154A73F4"/>
    <w:rsid w:val="26605096"/>
    <w:rsid w:val="2F212B1B"/>
    <w:rsid w:val="303845C1"/>
    <w:rsid w:val="34403A44"/>
    <w:rsid w:val="35B2271F"/>
    <w:rsid w:val="576900A3"/>
    <w:rsid w:val="585C225A"/>
    <w:rsid w:val="5D5E6B65"/>
    <w:rsid w:val="62CE19D2"/>
    <w:rsid w:val="65C9322A"/>
    <w:rsid w:val="67DB7004"/>
    <w:rsid w:val="734E2D80"/>
    <w:rsid w:val="7456013E"/>
    <w:rsid w:val="74C01A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customStyle="1" w:styleId="9">
    <w:name w:val="默认段落字体1"/>
    <w:link w:val="1"/>
    <w:qFormat/>
    <w:uiPriority w:val="0"/>
  </w:style>
  <w:style w:type="table" w:customStyle="1" w:styleId="10">
    <w:name w:val="普通表格1"/>
    <w:semiHidden/>
    <w:qFormat/>
    <w:uiPriority w:val="0"/>
  </w:style>
  <w:style w:type="character" w:customStyle="1" w:styleId="11">
    <w:name w:val="页眉 字符"/>
    <w:link w:val="12"/>
    <w:qFormat/>
    <w:uiPriority w:val="0"/>
    <w:rPr>
      <w:rFonts w:ascii="Times New Roman" w:hAnsi="Times New Roman" w:eastAsia="宋体"/>
      <w:sz w:val="18"/>
      <w:szCs w:val="18"/>
    </w:rPr>
  </w:style>
  <w:style w:type="paragraph" w:customStyle="1" w:styleId="12">
    <w:name w:val="页眉1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13">
    <w:name w:val="页码1"/>
    <w:basedOn w:val="9"/>
    <w:link w:val="1"/>
    <w:qFormat/>
    <w:uiPriority w:val="0"/>
  </w:style>
  <w:style w:type="character" w:customStyle="1" w:styleId="14">
    <w:name w:val="批注引用1"/>
    <w:link w:val="1"/>
    <w:qFormat/>
    <w:uiPriority w:val="0"/>
    <w:rPr>
      <w:sz w:val="21"/>
      <w:szCs w:val="21"/>
    </w:rPr>
  </w:style>
  <w:style w:type="character" w:customStyle="1" w:styleId="15">
    <w:name w:val="批注框文本 字符"/>
    <w:link w:val="16"/>
    <w:qFormat/>
    <w:uiPriority w:val="0"/>
    <w:rPr>
      <w:rFonts w:ascii="Times New Roman" w:hAnsi="Times New Roman"/>
      <w:kern w:val="2"/>
      <w:sz w:val="18"/>
      <w:szCs w:val="18"/>
    </w:rPr>
  </w:style>
  <w:style w:type="paragraph" w:customStyle="1" w:styleId="16">
    <w:name w:val="批注框文本1"/>
    <w:basedOn w:val="1"/>
    <w:link w:val="15"/>
    <w:qFormat/>
    <w:uiPriority w:val="0"/>
    <w:rPr>
      <w:sz w:val="18"/>
      <w:szCs w:val="18"/>
    </w:rPr>
  </w:style>
  <w:style w:type="character" w:customStyle="1" w:styleId="17">
    <w:name w:val="页脚 字符"/>
    <w:link w:val="18"/>
    <w:qFormat/>
    <w:uiPriority w:val="0"/>
    <w:rPr>
      <w:rFonts w:ascii="Times New Roman" w:hAnsi="Times New Roman" w:eastAsia="宋体"/>
      <w:sz w:val="18"/>
      <w:szCs w:val="18"/>
    </w:rPr>
  </w:style>
  <w:style w:type="paragraph" w:customStyle="1" w:styleId="18">
    <w:name w:val="页脚1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19">
    <w:name w:val="批注文字 字符"/>
    <w:link w:val="20"/>
    <w:qFormat/>
    <w:uiPriority w:val="0"/>
    <w:rPr>
      <w:rFonts w:ascii="Times New Roman" w:hAnsi="Times New Roman"/>
      <w:kern w:val="2"/>
      <w:sz w:val="21"/>
      <w:szCs w:val="24"/>
    </w:rPr>
  </w:style>
  <w:style w:type="paragraph" w:customStyle="1" w:styleId="20">
    <w:name w:val="批注文字1"/>
    <w:basedOn w:val="1"/>
    <w:link w:val="19"/>
    <w:uiPriority w:val="0"/>
    <w:pPr>
      <w:jc w:val="left"/>
    </w:pPr>
  </w:style>
  <w:style w:type="character" w:customStyle="1" w:styleId="21">
    <w:name w:val="批注主题 字符"/>
    <w:link w:val="22"/>
    <w:qFormat/>
    <w:uiPriority w:val="0"/>
    <w:rPr>
      <w:rFonts w:ascii="Times New Roman" w:hAnsi="Times New Roman"/>
      <w:b/>
      <w:bCs/>
      <w:kern w:val="2"/>
      <w:sz w:val="21"/>
      <w:szCs w:val="24"/>
    </w:rPr>
  </w:style>
  <w:style w:type="paragraph" w:customStyle="1" w:styleId="22">
    <w:name w:val="批注主题1"/>
    <w:basedOn w:val="20"/>
    <w:link w:val="21"/>
    <w:qFormat/>
    <w:uiPriority w:val="0"/>
    <w:rPr>
      <w:b/>
      <w:bCs/>
    </w:rPr>
  </w:style>
  <w:style w:type="paragraph" w:customStyle="1" w:styleId="23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2486</Words>
  <Characters>3597</Characters>
  <Lines>0</Lines>
  <Paragraphs>0</Paragraphs>
  <TotalTime>17</TotalTime>
  <ScaleCrop>false</ScaleCrop>
  <LinksUpToDate>false</LinksUpToDate>
  <CharactersWithSpaces>3881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2025-11-02T12:07:00Z</dcterms:created>
  <dc:creator>#%Code</dc:creator>
  <cp:lastModifiedBy>#%Code</cp:lastModifiedBy>
  <dcterms:modified xsi:type="dcterms:W3CDTF">2025-11-02T14:06:31Z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2052-12.1.0.23122</vt:lpwstr>
  </property>
  <property fmtid="{D5CDD505-2E9C-101B-9397-08002B2CF9AE}" pid="4" name="ICV">
    <vt:lpwstr>41D196EFB02341D89F3B2BFA3A81351C_12</vt:lpwstr>
  </property>
</Properties>
</file>