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31099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一、修改目标</w:t>
      </w:r>
    </w:p>
    <w:p w14:paraId="28FD75D6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后续修改不宜继续围绕“能增删查改、能保存文件、文件打开后是乱码”这一普通业务系统视角展开，而应把核心问题集中到 SGX 在系统中的安全角色上。建议论文与答辩统一回答以下四个问题：为什么必须使用 Intel SGX、SGX 在系统中承担什么功能、当前原型已经利用了哪些 SGX 特性、这些特性如何分别作用于使用中、传输中和存储中的数据保护。</w:t>
      </w:r>
    </w:p>
    <w:p w14:paraId="42DE72DF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二、当前需要修正的核心问题</w:t>
      </w:r>
    </w:p>
    <w:p w14:paraId="3E1A509E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（一）论文主线仍偏业务系统，SGX 主体性不够突出。</w:t>
      </w:r>
    </w:p>
    <w:p w14:paraId="7A3B736F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当前文本虽然提到 Enclave、sealing 等概念，但主体叙事仍停留在业务菜单和文件保存现象层面，这会削弱“机密计算系统”这一题目主线。</w:t>
      </w:r>
    </w:p>
    <w:p w14:paraId="26B48087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（二）技术表达停留在现象层，缺乏机制化解释。</w:t>
      </w:r>
    </w:p>
    <w:p w14:paraId="370857AD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论文不能只写“文件是乱码”或“数据被加密了”，而应进一步说明密文为何在 Enclave 外不可读、密封密钥如何获得、完整性保护依赖何种机制，以及攻击者为何无法直接拿到密钥。</w:t>
      </w:r>
    </w:p>
    <w:p w14:paraId="66D0979E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（三）远程认证与安全信道尚未形成完整表述。</w:t>
      </w:r>
    </w:p>
    <w:p w14:paraId="3C6D0D52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老师强调了患者与远程 Enclave 的认证关系，以及远程访问过程中的安全信道问题，因此系统设计部分需要补出远程访问到可信执行环境的安全链路。</w:t>
      </w:r>
    </w:p>
    <w:p w14:paraId="5A2593FA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（四）已实现内容与扩展设计的边界不够清晰。</w:t>
      </w:r>
    </w:p>
    <w:p w14:paraId="2DB60FDC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当前原型已完成 Enclave 创建、ECall/OCall 边界交互、状态密封与恢复，但并未完整落地 Remote Attestation 和会话密钥协商。因此论文必须避免把扩展设计写成现有代码事实。</w:t>
      </w:r>
    </w:p>
    <w:p w14:paraId="30C32409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（五）演示流程没有把 SGX 作为主角。</w:t>
      </w:r>
    </w:p>
    <w:p w14:paraId="504FE1AC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若答辩现场仅展示注册、录入和查看等业务功能，评委更容易把该系统理解为普通课程设计，而不是围绕可信执行环境展开的安全原型。</w:t>
      </w:r>
    </w:p>
    <w:p w14:paraId="13EB93BA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三、建议遵循的修改原则</w:t>
      </w:r>
    </w:p>
    <w:p w14:paraId="3FF1C2DC">
      <w:pPr>
        <w:pStyle w:val="16"/>
        <w:spacing w:after="40" w:line="324" w:lineRule="auto"/>
        <w:ind w:left="420" w:firstLine="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3"/>
        </w:rPr>
        <w:t>1. 以 SGX 为主线，业务功能为验证载体：论文可表述为“基于 Intel SGX 的机密病历原型系统”，病历管理只是用于验证安全机制在医疗场景中的落地效果。</w:t>
      </w:r>
    </w:p>
    <w:p w14:paraId="7B2DCD4B">
      <w:pPr>
        <w:pStyle w:val="16"/>
        <w:spacing w:after="40" w:line="324" w:lineRule="auto"/>
        <w:ind w:left="420" w:firstLine="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3"/>
        </w:rPr>
        <w:t>2. 严格区分“已实现”与“扩展设计”：代码已经完成的内容可以写成“已实现、已验证、已测试”；尚未完全落地但又必须在论文中体现的内容，应写成“完整部署架构中应包含”或“后续扩展模块”。</w:t>
      </w:r>
    </w:p>
    <w:p w14:paraId="49C79E50">
      <w:pPr>
        <w:pStyle w:val="16"/>
        <w:spacing w:after="40" w:line="324" w:lineRule="auto"/>
        <w:ind w:left="420" w:firstLine="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3"/>
        </w:rPr>
        <w:t>3. 用技术化表述替代现象化表述：例如不要只写“文件打开后是乱码”，而应改写为“系统外部保存的是经 SGX sealing 处理后的密封二进制对象，宿主侧无法直接恢复病历明文”。</w:t>
      </w:r>
    </w:p>
    <w:p w14:paraId="05138F84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四、建议采用的论文修改框架</w:t>
      </w:r>
    </w:p>
    <w:p w14:paraId="0729E554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（一）绪论部分</w:t>
      </w:r>
    </w:p>
    <w:p w14:paraId="137D621E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强化“为什么是 SGX 而不是普通数据库加密”的论证。重点指出传统加密主要保护存储态和传输态数据，而医疗数据在处理阶段仍需以明文驻留内存，SGX 解决的正是这一“使用中保护”问题。</w:t>
      </w:r>
    </w:p>
    <w:p w14:paraId="5B6B40E8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（二）系统设计部分</w:t>
      </w:r>
    </w:p>
    <w:p w14:paraId="7FF8ABAB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以系统总体架构、信任边界划分、ECall/OCall 接口设计、sealing 机制、远程认证与安全信道设计为主线，明确宿主程序不可信，Enclave 是唯一可信执行区域。</w:t>
      </w:r>
    </w:p>
    <w:p w14:paraId="1EBD6BAE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（三）系统实现部分</w:t>
      </w:r>
    </w:p>
    <w:p w14:paraId="36922364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将代码实现与 SGX 接口逐一对应，例如 sgx_create_enclave、sgx_seal_data、sgx_unseal_data、ecall_system_flush、ecall_system_load、ocall_save_blob 等，使评委能够看到论文描述与代码实现之间的直接映射。</w:t>
      </w:r>
    </w:p>
    <w:p w14:paraId="35E658DD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（四）测试与安全分析部分</w:t>
      </w:r>
    </w:p>
    <w:p w14:paraId="5EF12FCF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除业务功能可用性外，还应重点验证：外部文件中不存在病历明文、系统恢复必须经过 Enclave 解封、宿主程序本身不掌握密钥、磁盘泄露后攻击者面对的仅是密封密文。</w:t>
      </w:r>
    </w:p>
    <w:p w14:paraId="2804689A">
      <w:pPr>
        <w:pStyle w:val="4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26"/>
        </w:rPr>
        <w:t>（五）答辩演示部分</w:t>
      </w:r>
    </w:p>
    <w:p w14:paraId="2C13D244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建议把演示顺序调整为“Enclave 启动—密封文件展示—业务操作验证—安全结论总结”。这样既能体现功能闭环，又能保证 SGX 始终处于论述中心。</w:t>
      </w:r>
    </w:p>
    <w:p w14:paraId="192BAF17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五、已实现内容与扩展设计的写法边界</w:t>
      </w:r>
    </w:p>
    <w:p w14:paraId="43D8D30C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这一部分建议在论文写作和答辩表述中统一口径，避免出现“老师追问代码位置而论文说法过满”的情况。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E1F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CEAF8"/>
          </w:tcPr>
          <w:p w14:paraId="66CFB649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内容项</w:t>
            </w:r>
          </w:p>
        </w:tc>
        <w:tc>
          <w:tcPr>
            <w:tcW w:w="3742" w:type="dxa"/>
            <w:shd w:val="clear" w:color="auto" w:fill="DCEAF8"/>
          </w:tcPr>
          <w:p w14:paraId="09FFA6FB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论文中建议采用的写法</w:t>
            </w:r>
          </w:p>
        </w:tc>
        <w:tc>
          <w:tcPr>
            <w:tcW w:w="2381" w:type="dxa"/>
            <w:shd w:val="clear" w:color="auto" w:fill="DCEAF8"/>
          </w:tcPr>
          <w:p w14:paraId="04C48960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状态界定</w:t>
            </w:r>
          </w:p>
        </w:tc>
      </w:tr>
      <w:tr w14:paraId="3D92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8FBFE"/>
          </w:tcPr>
          <w:p w14:paraId="7A602CF0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Enclave 创建与隔离执行</w:t>
            </w:r>
          </w:p>
        </w:tc>
        <w:tc>
          <w:tcPr>
            <w:tcW w:w="3742" w:type="dxa"/>
          </w:tcPr>
          <w:p w14:paraId="3ABC87B0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可写成“系统已完成本地 Enclave 创建，并将敏感数据处理逻辑限制在可信执行区域内”。</w:t>
            </w:r>
          </w:p>
        </w:tc>
        <w:tc>
          <w:tcPr>
            <w:tcW w:w="2381" w:type="dxa"/>
          </w:tcPr>
          <w:p w14:paraId="2371876D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已实现</w:t>
            </w:r>
          </w:p>
        </w:tc>
      </w:tr>
      <w:tr w14:paraId="6B59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8FBFE"/>
          </w:tcPr>
          <w:p w14:paraId="3122AE1E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ECall/OCall 边界交互</w:t>
            </w:r>
          </w:p>
        </w:tc>
        <w:tc>
          <w:tcPr>
            <w:tcW w:w="3742" w:type="dxa"/>
          </w:tcPr>
          <w:p w14:paraId="7F2523A8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可写成“系统通过受控接口完成可信与非可信边界之间的服务调用”。</w:t>
            </w:r>
          </w:p>
        </w:tc>
        <w:tc>
          <w:tcPr>
            <w:tcW w:w="2381" w:type="dxa"/>
          </w:tcPr>
          <w:p w14:paraId="79402366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已实现</w:t>
            </w:r>
          </w:p>
        </w:tc>
      </w:tr>
      <w:tr w14:paraId="31FE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8FBFE"/>
          </w:tcPr>
          <w:p w14:paraId="1D47D208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状态密封与恢复</w:t>
            </w:r>
          </w:p>
        </w:tc>
        <w:tc>
          <w:tcPr>
            <w:tcW w:w="3742" w:type="dxa"/>
          </w:tcPr>
          <w:p w14:paraId="251CFAAF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可写成“系统使用 sgx_seal_data 与 sgx_unseal_data 完成状态密封与恢复，外部仅保存密封 Blob”。</w:t>
            </w:r>
          </w:p>
        </w:tc>
        <w:tc>
          <w:tcPr>
            <w:tcW w:w="2381" w:type="dxa"/>
          </w:tcPr>
          <w:p w14:paraId="7D4EA319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已实现</w:t>
            </w:r>
          </w:p>
        </w:tc>
      </w:tr>
      <w:tr w14:paraId="5203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8FBFE"/>
          </w:tcPr>
          <w:p w14:paraId="022A2DD7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Remote Attestation</w:t>
            </w:r>
          </w:p>
        </w:tc>
        <w:tc>
          <w:tcPr>
            <w:tcW w:w="3742" w:type="dxa"/>
          </w:tcPr>
          <w:p w14:paraId="7688DB1F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可写成“完整部署场景中应引入远程证明机制，以验证远程 Enclave 的可信性”。</w:t>
            </w:r>
          </w:p>
        </w:tc>
        <w:tc>
          <w:tcPr>
            <w:tcW w:w="2381" w:type="dxa"/>
          </w:tcPr>
          <w:p w14:paraId="70609C5B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扩展设计</w:t>
            </w:r>
          </w:p>
        </w:tc>
      </w:tr>
      <w:tr w14:paraId="2121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F8FBFE"/>
          </w:tcPr>
          <w:p w14:paraId="69DD311E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安全信道</w:t>
            </w:r>
          </w:p>
        </w:tc>
        <w:tc>
          <w:tcPr>
            <w:tcW w:w="3742" w:type="dxa"/>
          </w:tcPr>
          <w:p w14:paraId="732C1197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可写成“在远程证明通过后建立会话级安全信道，保护远程请求与结果返回过程”。</w:t>
            </w:r>
          </w:p>
        </w:tc>
        <w:tc>
          <w:tcPr>
            <w:tcW w:w="2381" w:type="dxa"/>
          </w:tcPr>
          <w:p w14:paraId="72977077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扩展设计</w:t>
            </w:r>
          </w:p>
        </w:tc>
      </w:tr>
    </w:tbl>
    <w:p w14:paraId="5FD1C363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六、推荐替换表述</w:t>
      </w:r>
    </w:p>
    <w:p w14:paraId="434AE505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下列表述可直接用于修改论文正文、PPT 说明和答辩时的口头表达。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0D0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DCEAF8"/>
          </w:tcPr>
          <w:p w14:paraId="1B19F8DC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原表述</w:t>
            </w:r>
          </w:p>
        </w:tc>
        <w:tc>
          <w:tcPr>
            <w:tcW w:w="4762" w:type="dxa"/>
            <w:shd w:val="clear" w:color="auto" w:fill="DCEAF8"/>
          </w:tcPr>
          <w:p w14:paraId="2CF5C751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建议改写</w:t>
            </w:r>
          </w:p>
        </w:tc>
        <w:tc>
          <w:tcPr>
            <w:tcW w:w="1474" w:type="dxa"/>
            <w:shd w:val="clear" w:color="auto" w:fill="DCEAF8"/>
          </w:tcPr>
          <w:p w14:paraId="53743832">
            <w:pPr>
              <w:spacing w:before="40" w:after="40" w:line="288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/>
                <w:color w:val="auto"/>
                <w:sz w:val="22"/>
              </w:rPr>
              <w:t>适用位置</w:t>
            </w:r>
          </w:p>
        </w:tc>
      </w:tr>
      <w:tr w14:paraId="390E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8FBFE"/>
          </w:tcPr>
          <w:p w14:paraId="18B20116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文件打开后是乱码</w:t>
            </w:r>
          </w:p>
        </w:tc>
        <w:tc>
          <w:tcPr>
            <w:tcW w:w="4762" w:type="dxa"/>
          </w:tcPr>
          <w:p w14:paraId="0405478E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系统外部保存的是经 SGX sealing 处理后的密封二进制对象，宿主侧无法直接恢复病历明文。</w:t>
            </w:r>
          </w:p>
        </w:tc>
        <w:tc>
          <w:tcPr>
            <w:tcW w:w="1474" w:type="dxa"/>
          </w:tcPr>
          <w:p w14:paraId="263438B4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正文/答辩</w:t>
            </w:r>
          </w:p>
        </w:tc>
      </w:tr>
      <w:tr w14:paraId="0A25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8FBFE"/>
          </w:tcPr>
          <w:p w14:paraId="4C751F9E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系统做了加密</w:t>
            </w:r>
          </w:p>
        </w:tc>
        <w:tc>
          <w:tcPr>
            <w:tcW w:w="4762" w:type="dxa"/>
          </w:tcPr>
          <w:p w14:paraId="27FF428F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系统利用 Intel SGX 提供的隔离执行与密封存储能力，对病历数据进行使用中保护与持久化保护。</w:t>
            </w:r>
          </w:p>
        </w:tc>
        <w:tc>
          <w:tcPr>
            <w:tcW w:w="1474" w:type="dxa"/>
          </w:tcPr>
          <w:p w14:paraId="690ADFDB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正文</w:t>
            </w:r>
          </w:p>
        </w:tc>
      </w:tr>
      <w:tr w14:paraId="2799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8FBFE"/>
          </w:tcPr>
          <w:p w14:paraId="276548F6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患者连接数据库后即可查看病历</w:t>
            </w:r>
          </w:p>
        </w:tc>
        <w:tc>
          <w:tcPr>
            <w:tcW w:w="4762" w:type="dxa"/>
          </w:tcPr>
          <w:p w14:paraId="528D82F1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在完整部署场景下，客户端应先验证远程 Enclave 的可信性，再通过安全信道提交病历请求。</w:t>
            </w:r>
          </w:p>
        </w:tc>
        <w:tc>
          <w:tcPr>
            <w:tcW w:w="1474" w:type="dxa"/>
          </w:tcPr>
          <w:p w14:paraId="7CF4E9D4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设计章节</w:t>
            </w:r>
          </w:p>
        </w:tc>
      </w:tr>
      <w:tr w14:paraId="2EBF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8FBFE"/>
          </w:tcPr>
          <w:p w14:paraId="17352C20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数据库保存了病历</w:t>
            </w:r>
          </w:p>
        </w:tc>
        <w:tc>
          <w:tcPr>
            <w:tcW w:w="4762" w:type="dxa"/>
          </w:tcPr>
          <w:p w14:paraId="792B0B34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数据库或外部文件只保存密封后的状态数据，真正掌握明文与密钥的是 Enclave，而不是宿主侧存储模块。</w:t>
            </w:r>
          </w:p>
        </w:tc>
        <w:tc>
          <w:tcPr>
            <w:tcW w:w="1474" w:type="dxa"/>
          </w:tcPr>
          <w:p w14:paraId="29D04ABA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正文/演示</w:t>
            </w:r>
          </w:p>
        </w:tc>
      </w:tr>
      <w:tr w14:paraId="08B4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8FBFE"/>
          </w:tcPr>
          <w:p w14:paraId="0D334589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系统重点是病历管理功能</w:t>
            </w:r>
          </w:p>
        </w:tc>
        <w:tc>
          <w:tcPr>
            <w:tcW w:w="4762" w:type="dxa"/>
          </w:tcPr>
          <w:p w14:paraId="0ADA0E49">
            <w:pPr>
              <w:spacing w:before="40" w:after="40" w:line="300" w:lineRule="auto"/>
              <w:jc w:val="left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病历管理功能是验证载体，系统研究重点在于 Intel SGX 如何保证病历数据在不可信环境中的机密性与完整性。</w:t>
            </w:r>
          </w:p>
        </w:tc>
        <w:tc>
          <w:tcPr>
            <w:tcW w:w="1474" w:type="dxa"/>
          </w:tcPr>
          <w:p w14:paraId="70E2F4FC">
            <w:pPr>
              <w:spacing w:before="40" w:after="40" w:line="300" w:lineRule="auto"/>
              <w:jc w:val="center"/>
              <w:rPr>
                <w:color w:val="auto"/>
              </w:rPr>
            </w:pPr>
            <w:r>
              <w:rPr>
                <w:rFonts w:ascii="Noto Serif CJK SC" w:hAnsi="Noto Serif CJK SC" w:eastAsia="Noto Serif CJK SC"/>
                <w:b w:val="0"/>
                <w:color w:val="auto"/>
                <w:sz w:val="21"/>
              </w:rPr>
              <w:t>摘要/结论</w:t>
            </w:r>
          </w:p>
        </w:tc>
      </w:tr>
    </w:tbl>
    <w:p w14:paraId="754391EF">
      <w:pPr>
        <w:pStyle w:val="3"/>
        <w:rPr>
          <w:color w:val="auto"/>
        </w:rPr>
      </w:pPr>
      <w:r>
        <w:rPr>
          <w:rFonts w:ascii="Noto Sans CJK SC" w:hAnsi="Noto Sans CJK SC" w:eastAsia="Noto Sans CJK SC"/>
          <w:b/>
          <w:color w:val="auto"/>
          <w:sz w:val="30"/>
        </w:rPr>
        <w:t>七、建议采用的配图方案</w:t>
      </w:r>
    </w:p>
    <w:p w14:paraId="24A5A9E3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为增强论文和答辩展示的技术指向性，建议至少补充以下 3 张图。对应的 draw.io 源文件已同步生成，可直接打开并继续编辑。</w:t>
      </w:r>
    </w:p>
    <w:p w14:paraId="01FA9F33">
      <w:pPr>
        <w:spacing w:before="120" w:after="40" w:line="24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36652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8FB0">
      <w:pPr>
        <w:spacing w:before="40" w:after="120" w:line="288" w:lineRule="auto"/>
        <w:jc w:val="center"/>
        <w:rPr>
          <w:color w:val="auto"/>
        </w:rPr>
      </w:pPr>
      <w:r>
        <w:rPr>
          <w:rFonts w:ascii="Noto Sans CJK SC" w:hAnsi="Noto Sans CJK SC" w:eastAsia="Noto Sans CJK SC"/>
          <w:b w:val="0"/>
          <w:color w:val="auto"/>
          <w:sz w:val="22"/>
        </w:rPr>
        <w:t>图 1  基于 Intel SGX 的机密病历系统总体架构</w:t>
      </w:r>
    </w:p>
    <w:p w14:paraId="1A4F091B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建议放在“系统总体架构”小节，用于突出客户端、不可信宿主、可信 Enclave 与密封存储之间的关系。</w:t>
      </w:r>
    </w:p>
    <w:p w14:paraId="10F1F8CB">
      <w:pPr>
        <w:spacing w:before="0" w:after="120" w:line="348" w:lineRule="auto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1"/>
        </w:rPr>
        <w:t>对应可编辑源文件：图1_总体架构.drawio</w:t>
      </w:r>
    </w:p>
    <w:p w14:paraId="70E22C0E">
      <w:pPr>
        <w:rPr>
          <w:color w:val="auto"/>
        </w:rPr>
      </w:pPr>
      <w:r>
        <w:rPr>
          <w:color w:val="auto"/>
        </w:rPr>
        <w:br w:type="page"/>
      </w:r>
    </w:p>
    <w:p w14:paraId="178A8C87">
      <w:pPr>
        <w:spacing w:before="120" w:after="40" w:line="24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38620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88D7">
      <w:pPr>
        <w:spacing w:before="40" w:after="120" w:line="288" w:lineRule="auto"/>
        <w:jc w:val="center"/>
        <w:rPr>
          <w:color w:val="auto"/>
        </w:rPr>
      </w:pPr>
      <w:r>
        <w:rPr>
          <w:rFonts w:ascii="Noto Sans CJK SC" w:hAnsi="Noto Sans CJK SC" w:eastAsia="Noto Sans CJK SC"/>
          <w:b w:val="0"/>
          <w:color w:val="auto"/>
          <w:sz w:val="22"/>
        </w:rPr>
        <w:t>图 2  患者/医生访问远程 Enclave 的安全链路示意</w:t>
      </w:r>
    </w:p>
    <w:p w14:paraId="0BD6C7BD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建议放在“安全机制设计”或“完整部署架构”小节，用于说明远程认证与安全信道属于目标部署链路。</w:t>
      </w:r>
    </w:p>
    <w:p w14:paraId="7D9DF700">
      <w:pPr>
        <w:spacing w:before="0" w:after="120" w:line="348" w:lineRule="auto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1"/>
        </w:rPr>
        <w:t>对应可编辑源文件：图2_安全链路.drawio</w:t>
      </w:r>
    </w:p>
    <w:p w14:paraId="507FEDE9">
      <w:pPr>
        <w:rPr>
          <w:color w:val="auto"/>
        </w:rPr>
      </w:pPr>
      <w:r>
        <w:rPr>
          <w:color w:val="auto"/>
        </w:rPr>
        <w:br w:type="page"/>
      </w:r>
    </w:p>
    <w:p w14:paraId="11E40F1C">
      <w:pPr>
        <w:spacing w:before="120" w:after="40" w:line="24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4335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3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746">
      <w:pPr>
        <w:spacing w:before="40" w:after="120" w:line="288" w:lineRule="auto"/>
        <w:jc w:val="center"/>
        <w:rPr>
          <w:color w:val="auto"/>
        </w:rPr>
      </w:pPr>
      <w:r>
        <w:rPr>
          <w:rFonts w:ascii="Noto Sans CJK SC" w:hAnsi="Noto Sans CJK SC" w:eastAsia="Noto Sans CJK SC"/>
          <w:b w:val="0"/>
          <w:color w:val="auto"/>
          <w:sz w:val="22"/>
        </w:rPr>
        <w:t>图 3  病历数据密封存储与恢复流程</w:t>
      </w:r>
    </w:p>
    <w:p w14:paraId="60202310">
      <w:pPr>
        <w:spacing w:before="0" w:after="120" w:line="348" w:lineRule="auto"/>
        <w:ind w:firstLine="420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4"/>
        </w:rPr>
        <w:t>建议放在“系统实现”或“安全性分析”小节，用于替代“文件是乱码”这一不规范表述。</w:t>
      </w:r>
    </w:p>
    <w:p w14:paraId="1FD3C1B9">
      <w:pPr>
        <w:spacing w:before="0" w:after="120" w:line="348" w:lineRule="auto"/>
        <w:rPr>
          <w:color w:val="auto"/>
        </w:rPr>
      </w:pPr>
      <w:r>
        <w:rPr>
          <w:rFonts w:ascii="Noto Serif CJK SC" w:hAnsi="Noto Serif CJK SC" w:eastAsia="Noto Serif CJK SC"/>
          <w:b w:val="0"/>
          <w:color w:val="auto"/>
          <w:sz w:val="21"/>
        </w:rPr>
        <w:t>对应可编辑源文件：图3_密封流程.drawio</w:t>
      </w:r>
    </w:p>
    <w:p w14:paraId="5E0F8915">
      <w:pPr>
        <w:spacing w:before="0" w:after="120" w:line="348" w:lineRule="auto"/>
        <w:ind w:firstLine="420"/>
        <w:rPr>
          <w:color w:val="auto"/>
        </w:rPr>
      </w:pPr>
      <w:bookmarkStart w:id="0" w:name="_GoBack"/>
      <w:bookmarkEnd w:id="0"/>
    </w:p>
    <w:sectPr>
      <w:pgSz w:w="12240" w:h="15840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7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55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4A7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55C8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558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2176</Words>
  <Characters>2549</Characters>
  <Lines>0</Lines>
  <Paragraphs>0</Paragraphs>
  <TotalTime>1</TotalTime>
  <ScaleCrop>false</ScaleCrop>
  <LinksUpToDate>false</LinksUpToDate>
  <CharactersWithSpaces>2645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2026-04-13T03:34:23Z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5B61528C17044182ABA50E70FBBCD91A_12</vt:lpwstr>
  </property>
</Properties>
</file>