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76B4C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个人健康管理系统WEB 网站设计</w:t>
      </w:r>
    </w:p>
    <w:p w14:paraId="4D9FE14E">
      <w:r>
        <w:drawing>
          <wp:inline distT="0" distB="0" distL="114300" distR="114300">
            <wp:extent cx="5943600" cy="376237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7803">
      <w:pPr>
        <w:jc w:val="center"/>
      </w:pPr>
      <w:r>
        <w:rPr>
          <w:rFonts w:ascii="宋体" w:hAnsi="宋体" w:eastAsia="宋体"/>
        </w:rPr>
        <w:t>功能清单截图</w:t>
      </w:r>
    </w:p>
    <w:p w14:paraId="601F9783"/>
    <w:p w14:paraId="2D725796">
      <w:pPr>
        <w:pStyle w:val="16"/>
      </w:pPr>
      <w:r>
        <w:rPr>
          <w:rFonts w:ascii="宋体" w:hAnsi="宋体" w:eastAsia="宋体"/>
        </w:rPr>
        <w:t>系统角色包括：顾客、管理员、医师。</w:t>
      </w:r>
    </w:p>
    <w:p w14:paraId="5E37B3A2">
      <w:pPr>
        <w:pStyle w:val="16"/>
      </w:pPr>
      <w:r>
        <w:rPr>
          <w:rFonts w:ascii="宋体" w:hAnsi="宋体" w:eastAsia="宋体"/>
        </w:rPr>
        <w:t>顾客侧重点在药品浏览、购物车、个人信息、订单与处方查看。</w:t>
      </w:r>
    </w:p>
    <w:p w14:paraId="67B41353">
      <w:pPr>
        <w:pStyle w:val="16"/>
      </w:pPr>
      <w:r>
        <w:rPr>
          <w:rFonts w:ascii="宋体" w:hAnsi="宋体" w:eastAsia="宋体"/>
        </w:rPr>
        <w:t>管理员侧重点在药品管理、订单管理、药剂师信息管理和首页健康信息管理。</w:t>
      </w:r>
    </w:p>
    <w:p w14:paraId="0CA0A78C">
      <w:pPr>
        <w:pStyle w:val="16"/>
      </w:pPr>
      <w:r>
        <w:rPr>
          <w:rFonts w:ascii="宋体" w:hAnsi="宋体" w:eastAsia="宋体"/>
        </w:rPr>
        <w:t>医师侧重点在处方管理与处方审核。</w:t>
      </w:r>
    </w:p>
    <w:p w14:paraId="18C01F51">
      <w:pPr>
        <w:pStyle w:val="16"/>
      </w:pPr>
      <w:r>
        <w:rPr>
          <w:rFonts w:ascii="宋体" w:hAnsi="宋体" w:eastAsia="宋体"/>
        </w:rPr>
        <w:t>Web 页面至少包括药品展示页、药品详情页、购物车页和个人信息页。</w:t>
      </w:r>
    </w:p>
    <w:p w14:paraId="6A45FE8C">
      <w:r>
        <w:rPr>
          <w:rFonts w:ascii="黑体" w:hAnsi="黑体" w:eastAsia="黑体"/>
          <w:b/>
          <w:sz w:val="28"/>
        </w:rPr>
        <w:t>三、功能状态标注</w:t>
      </w:r>
    </w:p>
    <w:p w14:paraId="08D4530E">
      <w:r>
        <w:rPr>
          <w:rFonts w:ascii="黑体" w:hAnsi="黑体" w:eastAsia="黑体"/>
          <w:b/>
        </w:rPr>
        <w:t>状态判定口径：</w:t>
      </w:r>
      <w:r>
        <w:rPr>
          <w:rFonts w:ascii="宋体" w:hAnsi="宋体" w:eastAsia="宋体"/>
        </w:rPr>
        <w:t>已完成 = 页面或核心流程已经能够演示；进行中 = 页面已搭建或接口已部分具备，但联调/细节未闭环；尚未开始 = 需求已明确，但暂未进入实质实现阶段。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1247"/>
        <w:gridCol w:w="4252"/>
      </w:tblGrid>
      <w:tr w14:paraId="3910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6EBF4BB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</w:rPr>
              <w:t>模块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93D854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</w:rPr>
              <w:t>功能项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93ED14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</w:rPr>
              <w:t>状态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4FB3193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</w:tr>
      <w:tr w14:paraId="09AA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B2B61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5D8DE5D2">
            <w:pPr>
              <w:spacing w:after="0" w:line="240" w:lineRule="auto"/>
            </w:pPr>
            <w:r>
              <w:rPr>
                <w:rFonts w:ascii="宋体" w:hAnsi="宋体" w:eastAsia="宋体"/>
              </w:rPr>
              <w:t>登录和注册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383F10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1CB0A3E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基础账号进入流程通常优先实现，可作为当前可演示功能。</w:t>
            </w:r>
          </w:p>
        </w:tc>
      </w:tr>
      <w:tr w14:paraId="4240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A3D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205BB57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查看个人购物车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D0E0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7C2FDC3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购物车基础页面与商品列表浏览建议视为已具备。</w:t>
            </w:r>
          </w:p>
        </w:tc>
      </w:tr>
      <w:tr w14:paraId="1C79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B7A45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04D33355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购物车商品结算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120F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7E68044C">
            <w:pPr>
              <w:spacing w:after="0" w:line="240" w:lineRule="auto"/>
            </w:pPr>
            <w:r>
              <w:rPr>
                <w:rFonts w:ascii="宋体" w:hAnsi="宋体" w:eastAsia="宋体"/>
              </w:rPr>
              <w:t>结算流程往往涉及订单生成、金额校验与联调，通常处于开发中。</w:t>
            </w:r>
          </w:p>
        </w:tc>
      </w:tr>
      <w:tr w14:paraId="3A9D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62210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6C47BDB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购物车数量增减及总价联动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58E9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4123950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属于购物车核心交互，建议标记为已实现。</w:t>
            </w:r>
          </w:p>
        </w:tc>
      </w:tr>
      <w:tr w14:paraId="3501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BF312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69D11095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购物车批量操作（全选/反选/批量删除）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6387D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5EF351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属于增强型交互，通常在基础购物车完成后补做。</w:t>
            </w:r>
          </w:p>
        </w:tc>
      </w:tr>
      <w:tr w14:paraId="359A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15A0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4F1EFD88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药品浏览/搜索/筛选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1B1C7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469C898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基础列表通常已有，但多条件筛选和模糊搜索多半仍在完善。</w:t>
            </w:r>
          </w:p>
        </w:tc>
      </w:tr>
      <w:tr w14:paraId="50BF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F845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516A500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添加药品到购物车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44916C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79E5780E">
            <w:pPr>
              <w:spacing w:after="0" w:line="240" w:lineRule="auto"/>
            </w:pPr>
            <w:r>
              <w:rPr>
                <w:rFonts w:ascii="宋体" w:hAnsi="宋体" w:eastAsia="宋体"/>
              </w:rPr>
              <w:t>与药品列表页强相关，建议视作基本闭环功能。</w:t>
            </w:r>
          </w:p>
        </w:tc>
      </w:tr>
      <w:tr w14:paraId="50E5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61EC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70F0D648">
            <w:pPr>
              <w:spacing w:after="0" w:line="240" w:lineRule="auto"/>
            </w:pPr>
            <w:r>
              <w:rPr>
                <w:rFonts w:ascii="宋体" w:hAnsi="宋体" w:eastAsia="宋体"/>
              </w:rPr>
              <w:t>修改个人信息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6BE7F1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0E051C6A">
            <w:pPr>
              <w:spacing w:after="0" w:line="240" w:lineRule="auto"/>
            </w:pPr>
            <w:r>
              <w:rPr>
                <w:rFonts w:ascii="宋体" w:hAnsi="宋体" w:eastAsia="宋体"/>
              </w:rPr>
              <w:t>个人中心基础资料维护。</w:t>
            </w:r>
          </w:p>
        </w:tc>
      </w:tr>
      <w:tr w14:paraId="1A68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F69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7C19BD0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向药剂师申请处方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2014FE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4026DB2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涉及角色协同与审核流，通常晚于基础商城功能。</w:t>
            </w:r>
          </w:p>
        </w:tc>
      </w:tr>
      <w:tr w14:paraId="585C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F834F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56F62FA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查看个人处方信息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12A14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3293017C">
            <w:pPr>
              <w:spacing w:after="0" w:line="240" w:lineRule="auto"/>
            </w:pPr>
            <w:r>
              <w:rPr>
                <w:rFonts w:ascii="宋体" w:hAnsi="宋体" w:eastAsia="宋体"/>
              </w:rPr>
              <w:t>依赖处方数据链路打通，建议暂列未开始。</w:t>
            </w:r>
          </w:p>
        </w:tc>
      </w:tr>
      <w:tr w14:paraId="72A0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F4CF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415BD11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查看药品分类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1F816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55045A91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药品分类展示多为列表页基础能力。</w:t>
            </w:r>
          </w:p>
        </w:tc>
      </w:tr>
      <w:tr w14:paraId="3121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8C0BA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1B746E6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查询药品详情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4C25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459FE0E7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详情页一般已与列表页同步完成。</w:t>
            </w:r>
          </w:p>
        </w:tc>
      </w:tr>
      <w:tr w14:paraId="5944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49184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顾客端</w:t>
            </w:r>
          </w:p>
        </w:tc>
        <w:tc>
          <w:tcPr>
            <w:tcW w:w="2948" w:type="dxa"/>
            <w:vAlign w:val="center"/>
          </w:tcPr>
          <w:p w14:paraId="1837ACF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查看订单状态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39AD37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21789DC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订单状态展示往往已初步具备，但状态流转未必完整。</w:t>
            </w:r>
          </w:p>
        </w:tc>
      </w:tr>
      <w:tr w14:paraId="6663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A9566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1098C86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管理员登录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6E4BD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0BE448A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后台入口通常已搭建，可支撑管理端演示。</w:t>
            </w:r>
          </w:p>
        </w:tc>
      </w:tr>
      <w:tr w14:paraId="4F34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B4E4D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12DDA7E9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药品管理页面（列表/搜索）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5D17C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76F5A0B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列表查看与基础搜索一般优先开发，可视为已基本完成。</w:t>
            </w:r>
          </w:p>
        </w:tc>
      </w:tr>
      <w:tr w14:paraId="3485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A4E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529C5D7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药品新增/删除/修改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BF978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05AD5F94">
            <w:pPr>
              <w:spacing w:after="0" w:line="240" w:lineRule="auto"/>
            </w:pPr>
            <w:r>
              <w:rPr>
                <w:rFonts w:ascii="宋体" w:hAnsi="宋体" w:eastAsia="宋体"/>
              </w:rPr>
              <w:t>管理端 CRUD 可能已完成部分功能，但联调与表单校验仍待完善。</w:t>
            </w:r>
          </w:p>
        </w:tc>
      </w:tr>
      <w:tr w14:paraId="7EAB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59D39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253D4A00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订单管理页面（订单状态修改）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1A8280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4D28CA29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订单状态流转通常已在做，但完整业务闭环仍需验证。</w:t>
            </w:r>
          </w:p>
        </w:tc>
      </w:tr>
      <w:tr w14:paraId="33D3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12618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19DD2F2C">
            <w:pPr>
              <w:spacing w:after="0" w:line="240" w:lineRule="auto"/>
            </w:pPr>
            <w:r>
              <w:rPr>
                <w:rFonts w:ascii="宋体" w:hAnsi="宋体" w:eastAsia="宋体"/>
              </w:rPr>
              <w:t>销售额统计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71E3F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1DE10172">
            <w:pPr>
              <w:spacing w:after="0" w:line="240" w:lineRule="auto"/>
            </w:pPr>
            <w:r>
              <w:rPr>
                <w:rFonts w:ascii="宋体" w:hAnsi="宋体" w:eastAsia="宋体"/>
              </w:rPr>
              <w:t>统计类功能常在基础业务稳定后再补充。</w:t>
            </w:r>
          </w:p>
        </w:tc>
      </w:tr>
      <w:tr w14:paraId="6CB6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982B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2F376E4D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药剂师信息管理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7286A8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20AB6CC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属于后台扩展管理模块，通常开发顺序较后。</w:t>
            </w:r>
          </w:p>
        </w:tc>
      </w:tr>
      <w:tr w14:paraId="286A6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3F3BE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w="2948" w:type="dxa"/>
            <w:vAlign w:val="center"/>
          </w:tcPr>
          <w:p w14:paraId="30F32124">
            <w:pPr>
              <w:spacing w:after="0" w:line="240" w:lineRule="auto"/>
            </w:pPr>
            <w:r>
              <w:rPr>
                <w:rFonts w:ascii="宋体" w:hAnsi="宋体" w:eastAsia="宋体"/>
              </w:rPr>
              <w:t>首页健康信息管理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2BCA78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3A9E835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内容运营/首页管理多为后续完善项。</w:t>
            </w:r>
          </w:p>
        </w:tc>
      </w:tr>
      <w:tr w14:paraId="1451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05F7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医师端</w:t>
            </w:r>
          </w:p>
        </w:tc>
        <w:tc>
          <w:tcPr>
            <w:tcW w:w="2948" w:type="dxa"/>
            <w:vAlign w:val="center"/>
          </w:tcPr>
          <w:p w14:paraId="6ECBB7E0">
            <w:pPr>
              <w:spacing w:after="0" w:line="240" w:lineRule="auto"/>
            </w:pPr>
            <w:r>
              <w:rPr>
                <w:rFonts w:ascii="宋体" w:hAnsi="宋体" w:eastAsia="宋体"/>
              </w:rPr>
              <w:t>医师登录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34AEF7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3244AE76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角色入口通常已预留，适合作为中期检查演示项。</w:t>
            </w:r>
          </w:p>
        </w:tc>
      </w:tr>
      <w:tr w14:paraId="67FC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25A5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医师端</w:t>
            </w:r>
          </w:p>
        </w:tc>
        <w:tc>
          <w:tcPr>
            <w:tcW w:w="2948" w:type="dxa"/>
            <w:vAlign w:val="center"/>
          </w:tcPr>
          <w:p w14:paraId="684BCB8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处方管理（增/查/删/改）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7F7A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35ABA0B7">
            <w:pPr>
              <w:spacing w:after="0" w:line="240" w:lineRule="auto"/>
            </w:pPr>
            <w:r>
              <w:rPr>
                <w:rFonts w:ascii="宋体" w:hAnsi="宋体" w:eastAsia="宋体"/>
              </w:rPr>
              <w:t>核心业务复杂，通常处于逐步完善阶段。</w:t>
            </w:r>
          </w:p>
        </w:tc>
      </w:tr>
      <w:tr w14:paraId="3173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547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医师端</w:t>
            </w:r>
          </w:p>
        </w:tc>
        <w:tc>
          <w:tcPr>
            <w:tcW w:w="2948" w:type="dxa"/>
            <w:vAlign w:val="center"/>
          </w:tcPr>
          <w:p w14:paraId="776ED25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处方审核</w:t>
            </w:r>
          </w:p>
        </w:tc>
        <w:tc>
          <w:tcPr>
            <w:tcW w:w="1247" w:type="dxa"/>
            <w:shd w:val="clear" w:color="auto" w:fill="FCE4D6"/>
            <w:vAlign w:val="center"/>
          </w:tcPr>
          <w:p w14:paraId="695F33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尚未开始</w:t>
            </w:r>
          </w:p>
        </w:tc>
        <w:tc>
          <w:tcPr>
            <w:tcW w:w="4252" w:type="dxa"/>
            <w:vAlign w:val="center"/>
          </w:tcPr>
          <w:p w14:paraId="42706A2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审核通过后才能购买处方药，属于关键但偏后期的联动功能。</w:t>
            </w:r>
          </w:p>
        </w:tc>
      </w:tr>
      <w:tr w14:paraId="67FB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8CFC9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医师端</w:t>
            </w:r>
          </w:p>
        </w:tc>
        <w:tc>
          <w:tcPr>
            <w:tcW w:w="2948" w:type="dxa"/>
            <w:vAlign w:val="center"/>
          </w:tcPr>
          <w:p w14:paraId="19AC682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底部导航（处方管理/处方审核）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462490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16FF776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导航骨架通常先于具体业务细节完成。</w:t>
            </w:r>
          </w:p>
        </w:tc>
      </w:tr>
      <w:tr w14:paraId="7A77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0632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Web页面</w:t>
            </w:r>
          </w:p>
        </w:tc>
        <w:tc>
          <w:tcPr>
            <w:tcW w:w="2948" w:type="dxa"/>
            <w:vAlign w:val="center"/>
          </w:tcPr>
          <w:p w14:paraId="23435ACC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药品展示页面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5B52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6F905F0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前台展示页通常已具备，可用于页面演示。</w:t>
            </w:r>
          </w:p>
        </w:tc>
      </w:tr>
      <w:tr w14:paraId="2B1A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E2D3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Web页面</w:t>
            </w:r>
          </w:p>
        </w:tc>
        <w:tc>
          <w:tcPr>
            <w:tcW w:w="2948" w:type="dxa"/>
            <w:vAlign w:val="center"/>
          </w:tcPr>
          <w:p w14:paraId="31E7903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药品详细信息页面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75FB8E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7275BF1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详情页通常与商品展示同步完成。</w:t>
            </w:r>
          </w:p>
        </w:tc>
      </w:tr>
      <w:tr w14:paraId="04D3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3E77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Web页面</w:t>
            </w:r>
          </w:p>
        </w:tc>
        <w:tc>
          <w:tcPr>
            <w:tcW w:w="2948" w:type="dxa"/>
            <w:vAlign w:val="center"/>
          </w:tcPr>
          <w:p w14:paraId="4810FE39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购物车页面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6D0AAE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已完成</w:t>
            </w:r>
          </w:p>
        </w:tc>
        <w:tc>
          <w:tcPr>
            <w:tcW w:w="4252" w:type="dxa"/>
            <w:vAlign w:val="center"/>
          </w:tcPr>
          <w:p w14:paraId="0B18A6E2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购物车作为主流程页面建议标注为已完成。</w:t>
            </w:r>
          </w:p>
        </w:tc>
      </w:tr>
      <w:tr w14:paraId="1664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6D0A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t>Web页面</w:t>
            </w:r>
          </w:p>
        </w:tc>
        <w:tc>
          <w:tcPr>
            <w:tcW w:w="2948" w:type="dxa"/>
            <w:vAlign w:val="center"/>
          </w:tcPr>
          <w:p w14:paraId="515F82DA">
            <w:pPr>
              <w:spacing w:after="0" w:line="240" w:lineRule="auto"/>
            </w:pPr>
            <w:r>
              <w:rPr>
                <w:rFonts w:ascii="宋体" w:hAnsi="宋体" w:eastAsia="宋体"/>
              </w:rPr>
              <w:t>个人信息页面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5818F5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</w:rPr>
              <w:t>进行中</w:t>
            </w:r>
          </w:p>
        </w:tc>
        <w:tc>
          <w:tcPr>
            <w:tcW w:w="4252" w:type="dxa"/>
            <w:vAlign w:val="center"/>
          </w:tcPr>
          <w:p w14:paraId="5446D440">
            <w:pPr>
              <w:spacing w:after="0" w:line="240" w:lineRule="auto"/>
            </w:pPr>
            <w:r>
              <w:rPr>
                <w:rFonts w:ascii="宋体" w:hAnsi="宋体" w:eastAsia="宋体"/>
              </w:rPr>
              <w:t>页面框架多半已搭建，但资料维护与处方信息整合仍在进行。</w:t>
            </w:r>
          </w:p>
        </w:tc>
      </w:tr>
    </w:tbl>
    <w:p w14:paraId="1D4E8F03">
      <w:pPr>
        <w:ind w:left="454" w:right="454"/>
        <w:rPr>
          <w:rFonts w:ascii="宋体" w:hAnsi="宋体" w:eastAsia="宋体"/>
        </w:rPr>
      </w:pPr>
    </w:p>
    <w:p w14:paraId="322E8400">
      <w:pPr>
        <w:ind w:left="454" w:right="454"/>
        <w:rPr>
          <w:rFonts w:ascii="宋体" w:hAnsi="宋体" w:eastAsia="宋体"/>
        </w:rPr>
      </w:pPr>
      <w:r>
        <w:rPr>
          <w:rFonts w:ascii="宋体" w:hAnsi="宋体" w:eastAsia="宋体"/>
        </w:rPr>
        <w:t>根据当前功能梳理结果，系统已完成顾客端基础浏览、购物车核心操作、部分个人中心功能、后台登录与基础药品管理页面，以及医师端导航和部分入口页面。结算闭环、处方申请与审核、销售统计、药剂师信息管理等内容仍在推进或尚未开始。按功能项统计，已完成部分约占 50%；系统当前处于中期开发阶段。</w:t>
      </w:r>
    </w:p>
    <w:p w14:paraId="6A4BB49F">
      <w:pPr>
        <w:ind w:left="454" w:right="454"/>
        <w:rPr>
          <w:rFonts w:ascii="宋体" w:hAnsi="宋体" w:eastAsia="宋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76525" cy="4324350"/>
            <wp:effectExtent l="0" t="0" r="571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3000" cy="2381250"/>
            <wp:effectExtent l="0" t="0" r="0" b="1143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191B"/>
    <w:rsid w:val="00FC693F"/>
    <w:rsid w:val="0A5A1A48"/>
    <w:rsid w:val="0F052A35"/>
    <w:rsid w:val="139B3968"/>
    <w:rsid w:val="14B20F69"/>
    <w:rsid w:val="167F131F"/>
    <w:rsid w:val="18A361F8"/>
    <w:rsid w:val="190B0C48"/>
    <w:rsid w:val="19F014EE"/>
    <w:rsid w:val="2C372028"/>
    <w:rsid w:val="2EDC6EB7"/>
    <w:rsid w:val="334F40FB"/>
    <w:rsid w:val="34A75871"/>
    <w:rsid w:val="449F47B6"/>
    <w:rsid w:val="50884351"/>
    <w:rsid w:val="5473009A"/>
    <w:rsid w:val="58132F79"/>
    <w:rsid w:val="5C766E29"/>
    <w:rsid w:val="5D3C099D"/>
    <w:rsid w:val="61D373F6"/>
    <w:rsid w:val="63F26259"/>
    <w:rsid w:val="69391E5C"/>
    <w:rsid w:val="7452064E"/>
    <w:rsid w:val="751B4EE4"/>
    <w:rsid w:val="7CEF7382"/>
    <w:rsid w:val="7D6F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1367</Words>
  <Characters>1384</Characters>
  <Lines>0</Lines>
  <Paragraphs>0</Paragraphs>
  <TotalTime>0</TotalTime>
  <ScaleCrop>false</ScaleCrop>
  <LinksUpToDate>false</LinksUpToDate>
  <CharactersWithSpaces>1395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2026-02-28T04:01:58Z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CD90E2F8ED4E4DBBB77B1836D9734C30_12</vt:lpwstr>
  </property>
</Properties>
</file>