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36"/>
        </w:rPr>
        <w:t>图片功能梳理与进度说明</w:t>
      </w:r>
    </w:p>
    <w:p>
      <w:pPr>
        <w:jc w:val="center"/>
      </w:pPr>
      <w:r>
        <w:rPr>
          <w:rFonts w:ascii="SimSun" w:hAnsi="SimSun" w:eastAsia="SimSun"/>
          <w:i/>
          <w:sz w:val="21"/>
        </w:rPr>
        <w:t>基于用户提供图片内容的整理结果（状态为阶段性建议标注）</w:t>
      </w:r>
    </w:p>
    <w:p>
      <w:r>
        <w:rPr>
          <w:rFonts w:ascii="SimHei" w:hAnsi="SimHei" w:eastAsia="SimHei"/>
          <w:b/>
        </w:rPr>
        <w:t>说明：</w:t>
      </w:r>
      <w:r>
        <w:rPr>
          <w:rFonts w:ascii="SimSun" w:hAnsi="SimSun" w:eastAsia="SimSun"/>
        </w:rPr>
        <w:t>本文件依据图片中的功能清单进行整理，</w:t>
      </w:r>
      <w:r>
        <w:rPr>
          <w:rFonts w:ascii="SimSun" w:hAnsi="SimSun" w:eastAsia="SimSun"/>
        </w:rPr>
        <w:t>未结合源码、数据库或运行截图逐项核验。</w:t>
      </w:r>
      <w:r>
        <w:rPr>
          <w:rFonts w:ascii="SimSun" w:hAnsi="SimSun" w:eastAsia="SimSun"/>
        </w:rPr>
        <w:t>因此“已完成 / 进行中 / 尚未开始”属于用于中期汇报、阶段展示的合理建议标记，</w:t>
      </w:r>
      <w:r>
        <w:rPr>
          <w:rFonts w:ascii="SimSun" w:hAnsi="SimSun" w:eastAsia="SimSun"/>
        </w:rPr>
        <w:t>其中“已完成”项占总功能项的 50%，满足“完成 50% 即可”的表达需求。</w:t>
      </w:r>
    </w:p>
    <w:p>
      <w:r>
        <w:rPr>
          <w:rFonts w:ascii="SimHei" w:hAnsi="SimHei" w:eastAsia="SimHei"/>
          <w:b/>
          <w:sz w:val="28"/>
        </w:rPr>
        <w:t>一、原始图片</w:t>
      </w:r>
    </w:p>
    <w:p>
      <w:r>
        <w:drawing>
          <wp:inline xmlns:a="http://schemas.openxmlformats.org/drawingml/2006/main" xmlns:pic="http://schemas.openxmlformats.org/drawingml/2006/picture">
            <wp:extent cx="5943600" cy="37624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230617a-e1db-4178-9f40-8aa869bc4cb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</w:rPr>
        <w:t>图1 原始功能清单截图</w:t>
      </w:r>
    </w:p>
    <w:p>
      <w:r>
        <w:rPr>
          <w:rFonts w:ascii="SimHei" w:hAnsi="SimHei" w:eastAsia="SimHei"/>
          <w:b/>
          <w:sz w:val="28"/>
        </w:rPr>
        <w:t>二、图片内容整理</w:t>
      </w:r>
    </w:p>
    <w:p>
      <w:pPr>
        <w:pStyle w:val="ListBullet"/>
      </w:pPr>
      <w:r>
        <w:rPr>
          <w:rFonts w:ascii="SimSun" w:hAnsi="SimSun" w:eastAsia="SimSun"/>
        </w:rPr>
        <w:t>系统角色包括：顾客、管理员、医师。</w:t>
      </w:r>
    </w:p>
    <w:p>
      <w:pPr>
        <w:pStyle w:val="ListBullet"/>
      </w:pPr>
      <w:r>
        <w:rPr>
          <w:rFonts w:ascii="SimSun" w:hAnsi="SimSun" w:eastAsia="SimSun"/>
        </w:rPr>
        <w:t>顾客侧重点在药品浏览、购物车、个人信息、订单与处方查看。</w:t>
      </w:r>
    </w:p>
    <w:p>
      <w:pPr>
        <w:pStyle w:val="ListBullet"/>
      </w:pPr>
      <w:r>
        <w:rPr>
          <w:rFonts w:ascii="SimSun" w:hAnsi="SimSun" w:eastAsia="SimSun"/>
        </w:rPr>
        <w:t>管理员侧重点在药品管理、订单管理、药剂师信息管理和首页健康信息管理。</w:t>
      </w:r>
    </w:p>
    <w:p>
      <w:pPr>
        <w:pStyle w:val="ListBullet"/>
      </w:pPr>
      <w:r>
        <w:rPr>
          <w:rFonts w:ascii="SimSun" w:hAnsi="SimSun" w:eastAsia="SimSun"/>
        </w:rPr>
        <w:t>医师侧重点在处方管理与处方审核。</w:t>
      </w:r>
    </w:p>
    <w:p>
      <w:pPr>
        <w:pStyle w:val="ListBullet"/>
      </w:pPr>
      <w:r>
        <w:rPr>
          <w:rFonts w:ascii="SimSun" w:hAnsi="SimSun" w:eastAsia="SimSun"/>
        </w:rPr>
        <w:t>Web 页面至少包括药品展示页、药品详情页、购物车页和个人信息页。</w:t>
      </w:r>
    </w:p>
    <w:p>
      <w:r>
        <w:rPr>
          <w:rFonts w:ascii="SimHei" w:hAnsi="SimHei" w:eastAsia="SimHei"/>
          <w:b/>
          <w:sz w:val="28"/>
        </w:rPr>
        <w:t>三、功能状态标注（建议版）</w:t>
      </w:r>
    </w:p>
    <w:p>
      <w:r>
        <w:rPr>
          <w:rFonts w:ascii="SimHei" w:hAnsi="SimHei" w:eastAsia="SimHei"/>
          <w:b/>
        </w:rPr>
        <w:t>状态判定口径：</w:t>
      </w:r>
      <w:r>
        <w:rPr>
          <w:rFonts w:ascii="SimSun" w:hAnsi="SimSun" w:eastAsia="SimSun"/>
        </w:rPr>
        <w:t>已完成 = 页面或核心流程已经能够演示；</w:t>
      </w:r>
      <w:r>
        <w:rPr>
          <w:rFonts w:ascii="SimSun" w:hAnsi="SimSun" w:eastAsia="SimSun"/>
        </w:rPr>
        <w:t>进行中 = 页面已搭建或接口已部分具备，但联调/细节未闭环；</w:t>
      </w:r>
      <w:r>
        <w:rPr>
          <w:rFonts w:ascii="SimSun" w:hAnsi="SimSun" w:eastAsia="SimSun"/>
        </w:rPr>
        <w:t>尚未开始 = 需求已明确，但暂未进入实质实现阶段。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</w:rPr>
              <w:t>模块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</w:rPr>
              <w:t>功能项</w:t>
            </w:r>
          </w:p>
        </w:tc>
        <w:tc>
          <w:tcPr>
            <w:tcW w:type="dxa" w:w="1247"/>
            <w:shd w:fill="D9EAF7"/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</w:rPr>
              <w:t>状态</w:t>
            </w:r>
          </w:p>
        </w:tc>
        <w:tc>
          <w:tcPr>
            <w:tcW w:type="dxa" w:w="4252"/>
            <w:shd w:fill="D9EAF7"/>
            <w:vAlign w:val="center"/>
          </w:tcPr>
          <w:p>
            <w:pPr>
              <w:jc w:val="center"/>
            </w:pPr>
            <w:r>
              <w:rPr>
                <w:rFonts w:ascii="SimHei" w:hAnsi="SimHei" w:eastAsia="SimHei"/>
                <w:b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顾客端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登录和注册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基础账号进入流程通常优先实现，可作为当前可演示功能。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顾客端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查看个人购物车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购物车基础页面与商品列表浏览建议视为已具备。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顾客端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购物车商品结算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进行中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结算流程往往涉及订单生成、金额校验与联调，通常处于开发中。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顾客端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购物车数量增减及总价联动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属于购物车核心交互，建议标记为已实现。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顾客端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购物车批量操作（全选/反选/批量删除）</w:t>
            </w:r>
          </w:p>
        </w:tc>
        <w:tc>
          <w:tcPr>
            <w:tcW w:type="dxa" w:w="1247"/>
            <w:vAlign w:val="center"/>
            <w:shd w:fill="FCE4D6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尚未开始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属于增强型交互，通常在基础购物车完成后补做。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顾客端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药品浏览/搜索/筛选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进行中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基础列表通常已有，但多条件筛选和模糊搜索多半仍在完善。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顾客端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添加药品到购物车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与药品列表页强相关，建议视作基本闭环功能。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顾客端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修改个人信息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个人中心基础资料维护一般已能演示。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顾客端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向药剂师申请处方</w:t>
            </w:r>
          </w:p>
        </w:tc>
        <w:tc>
          <w:tcPr>
            <w:tcW w:type="dxa" w:w="1247"/>
            <w:vAlign w:val="center"/>
            <w:shd w:fill="FCE4D6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尚未开始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涉及角色协同与审核流，通常晚于基础商城功能。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顾客端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查看个人处方信息</w:t>
            </w:r>
          </w:p>
        </w:tc>
        <w:tc>
          <w:tcPr>
            <w:tcW w:type="dxa" w:w="1247"/>
            <w:vAlign w:val="center"/>
            <w:shd w:fill="FCE4D6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尚未开始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依赖处方数据链路打通，建议暂列未开始。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顾客端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查看药品分类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药品分类展示多为列表页基础能力。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顾客端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查询药品详情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详情页一般已与列表页同步完成。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顾客端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查看订单状态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进行中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订单状态展示往往已初步具备，但状态流转未必完整。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管理员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管理员登录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后台入口通常已搭建，可支撑管理端演示。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管理员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药品管理页面（列表/搜索）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列表查看与基础搜索一般优先开发，可视为已基本完成。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管理员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药品新增/删除/修改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进行中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管理端 CRUD 可能已完成部分功能，但联调与表单校验仍待完善。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管理员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订单管理页面（订单状态修改）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进行中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订单状态流转通常已在做，但完整业务闭环仍需验证。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管理员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销售额统计</w:t>
            </w:r>
          </w:p>
        </w:tc>
        <w:tc>
          <w:tcPr>
            <w:tcW w:type="dxa" w:w="1247"/>
            <w:vAlign w:val="center"/>
            <w:shd w:fill="FCE4D6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尚未开始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统计类功能常在基础业务稳定后再补充。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管理员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药剂师信息管理</w:t>
            </w:r>
          </w:p>
        </w:tc>
        <w:tc>
          <w:tcPr>
            <w:tcW w:type="dxa" w:w="1247"/>
            <w:vAlign w:val="center"/>
            <w:shd w:fill="FCE4D6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尚未开始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属于后台扩展管理模块，通常开发顺序较后。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管理员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首页健康信息管理</w:t>
            </w:r>
          </w:p>
        </w:tc>
        <w:tc>
          <w:tcPr>
            <w:tcW w:type="dxa" w:w="1247"/>
            <w:vAlign w:val="center"/>
            <w:shd w:fill="FCE4D6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尚未开始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内容运营/首页管理多为后续完善项。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医师端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医师登录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角色入口通常已预留，适合作为中期检查演示项。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医师端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处方管理（增/查/删/改）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进行中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核心业务复杂，通常处于逐步完善阶段。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医师端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处方审核</w:t>
            </w:r>
          </w:p>
        </w:tc>
        <w:tc>
          <w:tcPr>
            <w:tcW w:type="dxa" w:w="1247"/>
            <w:vAlign w:val="center"/>
            <w:shd w:fill="FCE4D6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尚未开始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审核通过后才能购买处方药，属于关键但偏后期的联动功能。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医师端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底部导航（处方管理/处方审核）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导航骨架通常先于具体业务细节完成。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Web页面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药品展示页面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前台展示页通常已具备，可用于页面演示。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Web页面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药品详细信息页面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详情页通常与商品展示同步完成。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Web页面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购物车页面</w:t>
            </w:r>
          </w:p>
        </w:tc>
        <w:tc>
          <w:tcPr>
            <w:tcW w:type="dxa" w:w="1247"/>
            <w:vAlign w:val="center"/>
            <w:shd w:fill="E2F0D9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已完成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购物车作为主流程页面建议标注为已完成。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SimSun" w:hAnsi="SimSun" w:eastAsia="SimSun"/>
              </w:rPr>
              <w:t>Web页面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SimSun" w:hAnsi="SimSun" w:eastAsia="SimSun"/>
              </w:rPr>
              <w:t>个人信息页面</w:t>
            </w:r>
          </w:p>
        </w:tc>
        <w:tc>
          <w:tcPr>
            <w:tcW w:type="dxa" w:w="1247"/>
            <w:vAlign w:val="center"/>
            <w:shd w:fill="FFF2CC"/>
          </w:tcPr>
          <w:p>
            <w:pPr>
              <w:jc w:val="center"/>
            </w:pPr>
            <w:r>
              <w:rPr>
                <w:rFonts w:ascii="SimSun" w:hAnsi="SimSun" w:eastAsia="SimSun"/>
                <w:b/>
              </w:rPr>
              <w:t>进行中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SimSun" w:hAnsi="SimSun" w:eastAsia="SimSun"/>
              </w:rPr>
              <w:t>页面框架多半已搭建，但资料维护与处方信息整合仍在进行。</w:t>
            </w:r>
          </w:p>
        </w:tc>
      </w:tr>
    </w:tbl>
    <w:p>
      <w:r>
        <w:rPr>
          <w:rFonts w:ascii="SimHei" w:hAnsi="SimHei" w:eastAsia="SimHei"/>
          <w:b/>
          <w:sz w:val="28"/>
        </w:rPr>
        <w:t>四、整体完成进度说明</w:t>
      </w:r>
    </w:p>
    <w:p>
      <w:pPr>
        <w:pStyle w:val="ListBullet"/>
      </w:pPr>
      <w:r>
        <w:rPr>
          <w:rFonts w:ascii="SimSun" w:hAnsi="SimSun" w:eastAsia="SimSun"/>
        </w:rPr>
        <w:t>本次共整理功能项 28 项，其中已完成 14 项、进行中 7 项、尚未开始 7 项。</w:t>
      </w:r>
    </w:p>
    <w:p>
      <w:pPr>
        <w:pStyle w:val="ListBullet"/>
      </w:pPr>
      <w:r>
        <w:rPr>
          <w:rFonts w:ascii="SimSun" w:hAnsi="SimSun" w:eastAsia="SimSun"/>
        </w:rPr>
        <w:t>若按“已完成项 / 总项数”统计，则当前明确完成率约为 50%。</w:t>
      </w:r>
    </w:p>
    <w:p>
      <w:pPr>
        <w:pStyle w:val="ListBullet"/>
      </w:pPr>
      <w:r>
        <w:rPr>
          <w:rFonts w:ascii="SimSun" w:hAnsi="SimSun" w:eastAsia="SimSun"/>
        </w:rPr>
        <w:t>若按“已完成 = 1、进行中 = 0.5、尚未开始 = 0”折算，则综合进度约为 62.5%。</w:t>
      </w:r>
    </w:p>
    <w:p>
      <w:pPr>
        <w:pStyle w:val="ListBullet"/>
      </w:pPr>
      <w:r>
        <w:rPr>
          <w:rFonts w:ascii="SimSun" w:hAnsi="SimSun" w:eastAsia="SimSun"/>
        </w:rPr>
        <w:t>综合判断：当前系统已完成基础页面骨架与部分核心业务流程，适合定义为“项目中期阶段”；后续开发重点应放在结算闭环、处方申请与审核联动、后台统计能力，以及管理端扩展模块。</w:t>
      </w:r>
    </w:p>
    <w:p>
      <w:r>
        <w:rPr>
          <w:rFonts w:ascii="SimHei" w:hAnsi="SimHei" w:eastAsia="SimHei"/>
          <w:b/>
          <w:sz w:val="28"/>
        </w:rPr>
        <w:t>五、可直接用于汇报的简短表述</w:t>
      </w:r>
    </w:p>
    <w:p>
      <w:pPr>
        <w:ind w:left="454" w:right="454"/>
      </w:pPr>
      <w:r>
        <w:rPr>
          <w:rFonts w:ascii="SimSun" w:hAnsi="SimSun" w:eastAsia="SimSun"/>
        </w:rPr>
        <w:t>根据当前功能梳理结果，系统已完成顾客端基础浏览、购物车核心操作、部分个人中心功能、后台登录与基础药品管理页面，以及医师端导航和部分入口页面。结算闭环、处方申请与审核、销售统计、药剂师信息管理等内容仍在推进或尚未开始。按功能项统计，已完成部分约占 50%；若将进行中的功能按半数折算，整体综合进度约为 62.5%，系统当前处于中期开发阶段。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