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AA0778">
      <w:pPr>
        <w:adjustRightInd w:val="0"/>
        <w:snapToGrid w:val="0"/>
        <w:spacing w:line="360" w:lineRule="auto"/>
        <w:jc w:val="center"/>
        <w:rPr>
          <w:rFonts w:eastAsia="黑体"/>
          <w:bCs/>
          <w:sz w:val="32"/>
        </w:rPr>
      </w:pPr>
      <w:r>
        <w:rPr>
          <w:rFonts w:hint="eastAsia" w:eastAsia="黑体"/>
          <w:bCs/>
          <w:sz w:val="32"/>
        </w:rPr>
        <w:t>本科生毕业设计（论文）开题报告</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2880"/>
        <w:gridCol w:w="1440"/>
        <w:gridCol w:w="2834"/>
      </w:tblGrid>
      <w:tr w14:paraId="4E669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jc w:val="center"/>
        </w:trPr>
        <w:tc>
          <w:tcPr>
            <w:tcW w:w="1368" w:type="dxa"/>
            <w:vAlign w:val="center"/>
          </w:tcPr>
          <w:p w14:paraId="79ED460E">
            <w:pPr>
              <w:adjustRightInd w:val="0"/>
              <w:snapToGrid w:val="0"/>
              <w:ind w:firstLine="560"/>
              <w:jc w:val="center"/>
              <w:rPr>
                <w:sz w:val="28"/>
              </w:rPr>
            </w:pPr>
            <w:r>
              <w:rPr>
                <w:rFonts w:hint="eastAsia"/>
                <w:sz w:val="28"/>
              </w:rPr>
              <w:t>课题名称</w:t>
            </w:r>
          </w:p>
        </w:tc>
        <w:tc>
          <w:tcPr>
            <w:tcW w:w="7154" w:type="dxa"/>
            <w:gridSpan w:val="3"/>
            <w:vAlign w:val="center"/>
          </w:tcPr>
          <w:p w14:paraId="1EA58185">
            <w:pPr>
              <w:adjustRightInd w:val="0"/>
              <w:snapToGrid w:val="0"/>
              <w:ind w:firstLine="560"/>
              <w:jc w:val="center"/>
              <w:rPr>
                <w:sz w:val="28"/>
                <w:szCs w:val="28"/>
              </w:rPr>
            </w:pPr>
            <w:r>
              <w:rPr>
                <w:rFonts w:hint="eastAsia"/>
                <w:sz w:val="28"/>
                <w:szCs w:val="28"/>
              </w:rPr>
              <w:t>（四号宋体居中）</w:t>
            </w:r>
          </w:p>
        </w:tc>
      </w:tr>
      <w:tr w14:paraId="74EA1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jc w:val="center"/>
        </w:trPr>
        <w:tc>
          <w:tcPr>
            <w:tcW w:w="1368" w:type="dxa"/>
            <w:vAlign w:val="center"/>
          </w:tcPr>
          <w:p w14:paraId="51BB4E23">
            <w:pPr>
              <w:adjustRightInd w:val="0"/>
              <w:snapToGrid w:val="0"/>
              <w:ind w:firstLine="560"/>
              <w:jc w:val="center"/>
              <w:rPr>
                <w:sz w:val="28"/>
              </w:rPr>
            </w:pPr>
            <w:r>
              <w:rPr>
                <w:rFonts w:hint="eastAsia"/>
                <w:sz w:val="28"/>
              </w:rPr>
              <w:t>学    院</w:t>
            </w:r>
          </w:p>
        </w:tc>
        <w:tc>
          <w:tcPr>
            <w:tcW w:w="2880" w:type="dxa"/>
            <w:vAlign w:val="center"/>
          </w:tcPr>
          <w:p w14:paraId="19B16437">
            <w:pPr>
              <w:adjustRightInd w:val="0"/>
              <w:snapToGrid w:val="0"/>
              <w:ind w:firstLine="560"/>
              <w:jc w:val="center"/>
              <w:rPr>
                <w:sz w:val="28"/>
                <w:szCs w:val="28"/>
              </w:rPr>
            </w:pPr>
            <w:r>
              <w:rPr>
                <w:rFonts w:hint="eastAsia"/>
                <w:sz w:val="28"/>
                <w:szCs w:val="28"/>
              </w:rPr>
              <w:t>*****学院（全称）</w:t>
            </w:r>
          </w:p>
        </w:tc>
        <w:tc>
          <w:tcPr>
            <w:tcW w:w="1440" w:type="dxa"/>
            <w:vAlign w:val="center"/>
          </w:tcPr>
          <w:p w14:paraId="455E611B">
            <w:pPr>
              <w:adjustRightInd w:val="0"/>
              <w:snapToGrid w:val="0"/>
              <w:ind w:firstLine="560"/>
              <w:jc w:val="center"/>
              <w:rPr>
                <w:sz w:val="28"/>
              </w:rPr>
            </w:pPr>
            <w:r>
              <w:rPr>
                <w:rFonts w:hint="eastAsia"/>
                <w:sz w:val="28"/>
              </w:rPr>
              <w:t>专    业</w:t>
            </w:r>
          </w:p>
        </w:tc>
        <w:tc>
          <w:tcPr>
            <w:tcW w:w="2834" w:type="dxa"/>
            <w:vAlign w:val="center"/>
          </w:tcPr>
          <w:p w14:paraId="50C01B74">
            <w:pPr>
              <w:adjustRightInd w:val="0"/>
              <w:snapToGrid w:val="0"/>
              <w:ind w:firstLine="560"/>
              <w:jc w:val="center"/>
              <w:rPr>
                <w:sz w:val="28"/>
                <w:szCs w:val="28"/>
              </w:rPr>
            </w:pPr>
            <w:r>
              <w:rPr>
                <w:rFonts w:hint="eastAsia"/>
                <w:sz w:val="28"/>
                <w:szCs w:val="28"/>
              </w:rPr>
              <w:t>*******（全称）</w:t>
            </w:r>
          </w:p>
        </w:tc>
      </w:tr>
      <w:tr w14:paraId="4E7F8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1368" w:type="dxa"/>
            <w:vAlign w:val="center"/>
          </w:tcPr>
          <w:p w14:paraId="53B699B5">
            <w:pPr>
              <w:adjustRightInd w:val="0"/>
              <w:snapToGrid w:val="0"/>
              <w:ind w:firstLine="560"/>
              <w:jc w:val="center"/>
              <w:rPr>
                <w:sz w:val="28"/>
              </w:rPr>
            </w:pPr>
            <w:r>
              <w:rPr>
                <w:rFonts w:hint="eastAsia"/>
                <w:sz w:val="28"/>
              </w:rPr>
              <w:t>学生姓名</w:t>
            </w:r>
          </w:p>
        </w:tc>
        <w:tc>
          <w:tcPr>
            <w:tcW w:w="2880" w:type="dxa"/>
            <w:vAlign w:val="center"/>
          </w:tcPr>
          <w:p w14:paraId="1F338574">
            <w:pPr>
              <w:adjustRightInd w:val="0"/>
              <w:snapToGrid w:val="0"/>
              <w:ind w:firstLine="560"/>
              <w:jc w:val="center"/>
              <w:rPr>
                <w:sz w:val="28"/>
                <w:szCs w:val="28"/>
              </w:rPr>
            </w:pPr>
          </w:p>
        </w:tc>
        <w:tc>
          <w:tcPr>
            <w:tcW w:w="1440" w:type="dxa"/>
            <w:vAlign w:val="center"/>
          </w:tcPr>
          <w:p w14:paraId="16937EAC">
            <w:pPr>
              <w:adjustRightInd w:val="0"/>
              <w:snapToGrid w:val="0"/>
              <w:ind w:firstLine="560"/>
              <w:jc w:val="center"/>
              <w:rPr>
                <w:sz w:val="28"/>
              </w:rPr>
            </w:pPr>
            <w:r>
              <w:rPr>
                <w:rFonts w:hint="eastAsia"/>
                <w:sz w:val="28"/>
              </w:rPr>
              <w:t>指导教师</w:t>
            </w:r>
          </w:p>
        </w:tc>
        <w:tc>
          <w:tcPr>
            <w:tcW w:w="2834" w:type="dxa"/>
            <w:vAlign w:val="center"/>
          </w:tcPr>
          <w:p w14:paraId="336F438F">
            <w:pPr>
              <w:adjustRightInd w:val="0"/>
              <w:snapToGrid w:val="0"/>
              <w:ind w:firstLine="560"/>
              <w:jc w:val="center"/>
              <w:rPr>
                <w:sz w:val="28"/>
                <w:szCs w:val="28"/>
              </w:rPr>
            </w:pPr>
          </w:p>
        </w:tc>
      </w:tr>
      <w:tr w14:paraId="4EFEB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gridSpan w:val="4"/>
            <w:tcBorders>
              <w:bottom w:val="single" w:color="auto" w:sz="4" w:space="0"/>
            </w:tcBorders>
          </w:tcPr>
          <w:p w14:paraId="0E243DC7">
            <w:pPr>
              <w:numPr>
                <w:ilvl w:val="0"/>
                <w:numId w:val="1"/>
              </w:numPr>
              <w:adjustRightInd w:val="0"/>
              <w:snapToGrid w:val="0"/>
              <w:spacing w:before="156" w:beforeLines="50" w:after="156" w:afterLines="50"/>
              <w:ind w:firstLine="480"/>
            </w:pPr>
            <w:r>
              <w:rPr>
                <w:rFonts w:hint="eastAsia"/>
              </w:rPr>
              <w:t>课题来源及意义</w:t>
            </w:r>
          </w:p>
          <w:p w14:paraId="1F62B524">
            <w:pPr>
              <w:ind w:firstLine="480"/>
            </w:pPr>
            <w:r>
              <w:rPr>
                <w:rFonts w:hint="eastAsia"/>
              </w:rPr>
              <w:t>随着企业数字化转型推进，仓储环节从“人工登记+Excel台账”向“数据驱动+实时可视化”演进。仓库作为物料与商品流转的关键节点，若仍依赖手工记录，容易产生库存不准、账实不符、追溯困难、盘点成本高等问题，进而影响采购、生产、销售与财务对账效率。</w:t>
            </w:r>
          </w:p>
          <w:p w14:paraId="28CBE23F">
            <w:pPr>
              <w:ind w:firstLine="480"/>
            </w:pPr>
            <w:r>
              <w:rPr>
                <w:rFonts w:hint="eastAsia"/>
              </w:rPr>
              <w:t>中国物流与采购联合会发布的《中国数字化仓储发展报告》显示</w:t>
            </w:r>
            <w:r>
              <w:fldChar w:fldCharType="begin"/>
            </w:r>
            <w:r>
              <w:instrText xml:space="preserve"> </w:instrText>
            </w:r>
            <w:r>
              <w:rPr>
                <w:rFonts w:hint="eastAsia"/>
              </w:rPr>
              <w:instrText xml:space="preserve">REF _Ref218755867 \r \h</w:instrText>
            </w:r>
            <w:r>
              <w:instrText xml:space="preserve"> </w:instrText>
            </w:r>
            <w:r>
              <w:fldChar w:fldCharType="separate"/>
            </w:r>
            <w:r>
              <w:rPr>
                <w:vertAlign w:val="superscript"/>
              </w:rPr>
              <w:t>[1]</w:t>
            </w:r>
            <w:r>
              <w:fldChar w:fldCharType="end"/>
            </w:r>
            <w:r>
              <w:fldChar w:fldCharType="begin"/>
            </w:r>
            <w:r>
              <w:instrText xml:space="preserve"> REF _Ref218755871 \r \h </w:instrText>
            </w:r>
            <w:r>
              <w:fldChar w:fldCharType="separate"/>
            </w:r>
            <w:r>
              <w:rPr>
                <w:vertAlign w:val="superscript"/>
              </w:rPr>
              <w:t>[2]</w:t>
            </w:r>
            <w:r>
              <w:fldChar w:fldCharType="end"/>
            </w:r>
            <w:r>
              <w:rPr>
                <w:rFonts w:hint="eastAsia"/>
              </w:rPr>
              <w:t xml:space="preserve">，数字化仓储已成为行业趋势，并在市场规模与增长方面表现活跃（媒体公开报道可见）。 </w:t>
            </w:r>
          </w:p>
          <w:p w14:paraId="30B35F42">
            <w:pPr>
              <w:ind w:firstLine="480"/>
            </w:pPr>
            <w:r>
              <w:rPr>
                <w:rFonts w:hint="eastAsia"/>
              </w:rPr>
              <w:t>因此，本课题拟设计并实现一套面向企业日常场景的仓库管理系统（WMS轻量化实现），采用“Android 移动端扫码作业 + Vue 后台管理 + Spring Boot 服务端 + MySQL 数据库”的模式</w:t>
            </w:r>
            <w:r>
              <w:fldChar w:fldCharType="begin"/>
            </w:r>
            <w:r>
              <w:instrText xml:space="preserve"> </w:instrText>
            </w:r>
            <w:r>
              <w:rPr>
                <w:rFonts w:hint="eastAsia"/>
              </w:rPr>
              <w:instrText xml:space="preserve">REF _Ref218755893 \r \h</w:instrText>
            </w:r>
            <w:r>
              <w:instrText xml:space="preserve"> </w:instrText>
            </w:r>
            <w:r>
              <w:fldChar w:fldCharType="separate"/>
            </w:r>
            <w:r>
              <w:rPr>
                <w:vertAlign w:val="superscript"/>
              </w:rPr>
              <w:t>[3]</w:t>
            </w:r>
            <w:r>
              <w:fldChar w:fldCharType="end"/>
            </w:r>
            <w:r>
              <w:rPr>
                <w:rFonts w:hint="eastAsia"/>
              </w:rPr>
              <w:t>，提升仓储作业效率与数据准确性，增强批次追溯与审计能力。</w:t>
            </w:r>
          </w:p>
          <w:p w14:paraId="6C5A2EAE">
            <w:pPr>
              <w:ind w:firstLine="480"/>
            </w:pPr>
            <w:r>
              <w:rPr>
                <w:rFonts w:hint="eastAsia"/>
              </w:rPr>
              <w:t>本课题意义主要体现在：</w:t>
            </w:r>
          </w:p>
          <w:p w14:paraId="5ABDC2E5">
            <w:pPr>
              <w:ind w:firstLine="480"/>
            </w:pPr>
            <w:r>
              <w:rPr>
                <w:rFonts w:hint="eastAsia"/>
              </w:rPr>
              <w:t>1. 实践价值：实现入库、库存批次追踪、库存异动台账与审计，降低人工统计与差错率，提高盘点与对账效率。</w:t>
            </w:r>
          </w:p>
          <w:p w14:paraId="3CEAA46E">
            <w:pPr>
              <w:ind w:firstLine="480"/>
            </w:pPr>
            <w:r>
              <w:rPr>
                <w:rFonts w:hint="eastAsia"/>
              </w:rPr>
              <w:t>2. 管理价值：形成“业务可追溯 + 操作可审计”的闭环，提高仓储管理透明度与责任界定能力。</w:t>
            </w:r>
          </w:p>
          <w:p w14:paraId="10B2F69E">
            <w:pPr>
              <w:ind w:firstLine="480"/>
            </w:pPr>
            <w:r>
              <w:rPr>
                <w:rFonts w:hint="eastAsia"/>
              </w:rPr>
              <w:t>3. 教学与工程价值：完整覆盖前后端分离、多端协同、权限控制、数据库一致性设计、日志审计等本科阶段关键能力训练。</w:t>
            </w:r>
          </w:p>
          <w:p w14:paraId="3CABB908">
            <w:pPr>
              <w:adjustRightInd w:val="0"/>
              <w:snapToGrid w:val="0"/>
              <w:spacing w:before="156" w:beforeLines="50" w:after="156" w:afterLines="50"/>
              <w:ind w:firstLine="480"/>
            </w:pPr>
            <w:r>
              <w:rPr>
                <w:rFonts w:hint="eastAsia"/>
              </w:rPr>
              <w:t>二、国内外发展现状</w:t>
            </w:r>
          </w:p>
          <w:p w14:paraId="22E63323">
            <w:pPr>
              <w:ind w:firstLine="480"/>
            </w:pPr>
            <w:r>
              <w:rPr>
                <w:rFonts w:hint="eastAsia"/>
              </w:rPr>
              <w:t>（1）自动识别与扫码作业成为仓储信息化</w:t>
            </w:r>
            <w:r>
              <w:fldChar w:fldCharType="begin"/>
            </w:r>
            <w:r>
              <w:instrText xml:space="preserve"> </w:instrText>
            </w:r>
            <w:r>
              <w:rPr>
                <w:rFonts w:hint="eastAsia"/>
              </w:rPr>
              <w:instrText xml:space="preserve">REF _Ref218755932 \r \h</w:instrText>
            </w:r>
            <w:r>
              <w:instrText xml:space="preserve"> </w:instrText>
            </w:r>
            <w:r>
              <w:fldChar w:fldCharType="separate"/>
            </w:r>
            <w:r>
              <w:rPr>
                <w:vertAlign w:val="superscript"/>
              </w:rPr>
              <w:t>[4]</w:t>
            </w:r>
            <w:r>
              <w:fldChar w:fldCharType="end"/>
            </w:r>
            <w:r>
              <w:rPr>
                <w:rFonts w:hint="eastAsia"/>
              </w:rPr>
              <w:t>的基础能力。条码/二维码</w:t>
            </w:r>
            <w:r>
              <w:fldChar w:fldCharType="begin"/>
            </w:r>
            <w:r>
              <w:instrText xml:space="preserve"> </w:instrText>
            </w:r>
            <w:r>
              <w:rPr>
                <w:rFonts w:hint="eastAsia"/>
              </w:rPr>
              <w:instrText xml:space="preserve">REF _Ref218755978 \r \h</w:instrText>
            </w:r>
            <w:r>
              <w:instrText xml:space="preserve"> </w:instrText>
            </w:r>
            <w:r>
              <w:fldChar w:fldCharType="separate"/>
            </w:r>
            <w:r>
              <w:rPr>
                <w:vertAlign w:val="superscript"/>
              </w:rPr>
              <w:t>[5]</w:t>
            </w:r>
            <w:r>
              <w:fldChar w:fldCharType="end"/>
            </w:r>
            <w:r>
              <w:fldChar w:fldCharType="begin"/>
            </w:r>
            <w:r>
              <w:instrText xml:space="preserve"> REF _Ref218755980 \r \h </w:instrText>
            </w:r>
            <w:r>
              <w:fldChar w:fldCharType="separate"/>
            </w:r>
            <w:r>
              <w:rPr>
                <w:vertAlign w:val="superscript"/>
              </w:rPr>
              <w:t>[6]</w:t>
            </w:r>
            <w:r>
              <w:fldChar w:fldCharType="end"/>
            </w:r>
            <w:r>
              <w:rPr>
                <w:rFonts w:hint="eastAsia"/>
              </w:rPr>
              <w:t xml:space="preserve">可将“物料—批次—单据”绑定，实现快速录入与减少人工抄写错误。相关研究指出，将条码技术融入WMS可显著提升作业效率与库存准确性。 在标准层面，我国已发布《条码技术在仓储配送业务中的应用指南》，对条码在仓储配送业务中的应用给出指导；二维码也有对应国际标准 ISO/IEC 18004:2024 进行规范。 </w:t>
            </w:r>
          </w:p>
          <w:p w14:paraId="74448746">
            <w:pPr>
              <w:ind w:firstLine="480"/>
            </w:pPr>
            <w:r>
              <w:rPr>
                <w:rFonts w:hint="eastAsia"/>
              </w:rPr>
              <w:t>（2）国外WMS产品趋向平台化</w:t>
            </w:r>
            <w:r>
              <w:fldChar w:fldCharType="begin"/>
            </w:r>
            <w:r>
              <w:instrText xml:space="preserve"> </w:instrText>
            </w:r>
            <w:r>
              <w:rPr>
                <w:rFonts w:hint="eastAsia"/>
              </w:rPr>
              <w:instrText xml:space="preserve">REF _Ref218755989 \r \h</w:instrText>
            </w:r>
            <w:r>
              <w:instrText xml:space="preserve"> </w:instrText>
            </w:r>
            <w:r>
              <w:fldChar w:fldCharType="separate"/>
            </w:r>
            <w:r>
              <w:rPr>
                <w:vertAlign w:val="superscript"/>
              </w:rPr>
              <w:t>[7]</w:t>
            </w:r>
            <w:r>
              <w:fldChar w:fldCharType="end"/>
            </w:r>
            <w:r>
              <w:rPr>
                <w:rFonts w:hint="eastAsia"/>
              </w:rPr>
              <w:t>、云化与生态集成</w:t>
            </w:r>
            <w:r>
              <w:fldChar w:fldCharType="begin"/>
            </w:r>
            <w:r>
              <w:instrText xml:space="preserve"> </w:instrText>
            </w:r>
            <w:r>
              <w:rPr>
                <w:rFonts w:hint="eastAsia"/>
              </w:rPr>
              <w:instrText xml:space="preserve">REF _Ref218755997 \r \h</w:instrText>
            </w:r>
            <w:r>
              <w:instrText xml:space="preserve"> </w:instrText>
            </w:r>
            <w:r>
              <w:fldChar w:fldCharType="separate"/>
            </w:r>
            <w:r>
              <w:rPr>
                <w:vertAlign w:val="superscript"/>
              </w:rPr>
              <w:t>[8]</w:t>
            </w:r>
            <w:r>
              <w:fldChar w:fldCharType="end"/>
            </w:r>
            <w:r>
              <w:rPr>
                <w:rFonts w:hint="eastAsia"/>
              </w:rPr>
              <w:t>。大型企业普遍关注WMS与ERP/TMS等系统</w:t>
            </w:r>
            <w:r>
              <w:fldChar w:fldCharType="begin"/>
            </w:r>
            <w:r>
              <w:instrText xml:space="preserve"> </w:instrText>
            </w:r>
            <w:r>
              <w:rPr>
                <w:rFonts w:hint="eastAsia"/>
              </w:rPr>
              <w:instrText xml:space="preserve">REF _Ref218756003 \r \h</w:instrText>
            </w:r>
            <w:r>
              <w:instrText xml:space="preserve"> </w:instrText>
            </w:r>
            <w:r>
              <w:fldChar w:fldCharType="separate"/>
            </w:r>
            <w:r>
              <w:rPr>
                <w:vertAlign w:val="superscript"/>
              </w:rPr>
              <w:t>[9]</w:t>
            </w:r>
            <w:r>
              <w:fldChar w:fldCharType="end"/>
            </w:r>
            <w:r>
              <w:rPr>
                <w:rFonts w:hint="eastAsia"/>
              </w:rPr>
              <w:t xml:space="preserve">的集成，以及配置化能力、可视化报表与流程优化。行业研究与评测报告也强调市场对云原生与中端客户的覆盖竞争正在加剧。 </w:t>
            </w:r>
          </w:p>
          <w:p w14:paraId="0406862A">
            <w:pPr>
              <w:ind w:firstLine="480"/>
            </w:pPr>
            <w:r>
              <w:rPr>
                <w:rFonts w:hint="eastAsia"/>
              </w:rPr>
              <w:t>（3）RFID/物联网</w:t>
            </w:r>
            <w:r>
              <w:fldChar w:fldCharType="begin"/>
            </w:r>
            <w:r>
              <w:instrText xml:space="preserve"> </w:instrText>
            </w:r>
            <w:r>
              <w:rPr>
                <w:rFonts w:hint="eastAsia"/>
              </w:rPr>
              <w:instrText xml:space="preserve">REF _Ref218756015 \r \h</w:instrText>
            </w:r>
            <w:r>
              <w:instrText xml:space="preserve"> </w:instrText>
            </w:r>
            <w:r>
              <w:fldChar w:fldCharType="separate"/>
            </w:r>
            <w:r>
              <w:rPr>
                <w:vertAlign w:val="superscript"/>
              </w:rPr>
              <w:t>[10]</w:t>
            </w:r>
            <w:r>
              <w:fldChar w:fldCharType="end"/>
            </w:r>
            <w:r>
              <w:fldChar w:fldCharType="begin"/>
            </w:r>
            <w:r>
              <w:instrText xml:space="preserve"> REF _Ref218756017 \r \h </w:instrText>
            </w:r>
            <w:r>
              <w:fldChar w:fldCharType="separate"/>
            </w:r>
            <w:r>
              <w:rPr>
                <w:vertAlign w:val="superscript"/>
              </w:rPr>
              <w:t>[11]</w:t>
            </w:r>
            <w:r>
              <w:fldChar w:fldCharType="end"/>
            </w:r>
            <w:r>
              <w:rPr>
                <w:rFonts w:hint="eastAsia"/>
              </w:rPr>
              <w:t>与智能仓储正在扩展应用边界。RFID可用于自动盘点、在途追踪与实时可视化，相关系统综述与研究对RFID在供应链与仓储中的应用与影响进行了系统总结。</w:t>
            </w:r>
          </w:p>
          <w:p w14:paraId="0955A4F2">
            <w:pPr>
              <w:ind w:firstLine="480"/>
            </w:pPr>
            <w:r>
              <w:rPr>
                <w:rFonts w:hint="eastAsia"/>
              </w:rPr>
              <w:t xml:space="preserve"> 但在多数中小企业场景中，受成本与改造难度影响，“手机扫码 + 轻量WMS”仍是更具性价比的落地路径。</w:t>
            </w:r>
          </w:p>
          <w:p w14:paraId="35A5876B">
            <w:pPr>
              <w:ind w:firstLine="480"/>
            </w:pPr>
            <w:r>
              <w:rPr>
                <w:rFonts w:hint="eastAsia"/>
              </w:rPr>
              <w:t>综上，国内外发展趋势呈现：扫码标准化、云化部署、多端协同、数据可追溯与审计。本课题将聚焦本科可落地范围内的核心能力实现，并预留扩展到出库/预警/统计分析等方向的接口与数据结构。</w:t>
            </w:r>
          </w:p>
          <w:p w14:paraId="2A48F3DB">
            <w:pPr>
              <w:adjustRightInd w:val="0"/>
              <w:snapToGrid w:val="0"/>
              <w:spacing w:before="156" w:beforeLines="50" w:after="156" w:afterLines="50"/>
              <w:ind w:firstLine="480"/>
            </w:pPr>
            <w:r>
              <w:rPr>
                <w:rFonts w:hint="eastAsia"/>
              </w:rPr>
              <w:t>三、研究目标</w:t>
            </w:r>
          </w:p>
          <w:p w14:paraId="4BBFE62F">
            <w:pPr>
              <w:ind w:firstLine="480"/>
            </w:pPr>
            <w:r>
              <w:rPr>
                <w:rFonts w:hint="eastAsia"/>
              </w:rPr>
              <w:t>设计并实现企业仓库管理系统的整体架构</w:t>
            </w:r>
            <w:r>
              <w:fldChar w:fldCharType="begin"/>
            </w:r>
            <w:r>
              <w:instrText xml:space="preserve"> </w:instrText>
            </w:r>
            <w:r>
              <w:rPr>
                <w:rFonts w:hint="eastAsia"/>
              </w:rPr>
              <w:instrText xml:space="preserve">REF _Ref218756098 \r \h</w:instrText>
            </w:r>
            <w:r>
              <w:instrText xml:space="preserve"> </w:instrText>
            </w:r>
            <w:r>
              <w:fldChar w:fldCharType="separate"/>
            </w:r>
            <w:r>
              <w:rPr>
                <w:vertAlign w:val="superscript"/>
              </w:rPr>
              <w:t>[12]</w:t>
            </w:r>
            <w:r>
              <w:fldChar w:fldCharType="end"/>
            </w:r>
            <w:r>
              <w:fldChar w:fldCharType="begin"/>
            </w:r>
            <w:r>
              <w:instrText xml:space="preserve"> REF _Ref218756113 \r \h </w:instrText>
            </w:r>
            <w:r>
              <w:fldChar w:fldCharType="separate"/>
            </w:r>
            <w:r>
              <w:rPr>
                <w:vertAlign w:val="superscript"/>
              </w:rPr>
              <w:t>[13]</w:t>
            </w:r>
            <w:r>
              <w:fldChar w:fldCharType="end"/>
            </w:r>
            <w:r>
              <w:rPr>
                <w:rFonts w:hint="eastAsia"/>
              </w:rPr>
              <w:t>：Android用户端、Vue管理端、Spring Boot后端与MySQL数据库。</w:t>
            </w:r>
          </w:p>
          <w:p w14:paraId="1BEE79CF">
            <w:pPr>
              <w:ind w:firstLine="480"/>
            </w:pPr>
            <w:r>
              <w:rPr>
                <w:rFonts w:hint="eastAsia"/>
              </w:rPr>
              <w:t>2. 实现仓库核心业务闭环：产品建档 → 入库单 → 批次库存 → 扫码入库/库存调整 → 库存异动台账。</w:t>
            </w:r>
          </w:p>
          <w:p w14:paraId="26C3C0C9">
            <w:pPr>
              <w:ind w:firstLine="480"/>
            </w:pPr>
            <w:r>
              <w:rPr>
                <w:rFonts w:hint="eastAsia"/>
              </w:rPr>
              <w:t>3. 建立基础权限体系（RBAC）：不同角色在后台与移动端拥有不同功能权限。</w:t>
            </w:r>
          </w:p>
          <w:p w14:paraId="3EC7968B">
            <w:pPr>
              <w:ind w:firstLine="480"/>
            </w:pPr>
            <w:r>
              <w:rPr>
                <w:rFonts w:hint="eastAsia"/>
              </w:rPr>
              <w:t>4. 建立审计与可追溯机制：库存异动日志（transaction_logs）与系统操作日志（system_logs）可查询、可追责。</w:t>
            </w:r>
          </w:p>
          <w:p w14:paraId="09E71CD4">
            <w:pPr>
              <w:ind w:firstLine="480"/>
            </w:pPr>
            <w:r>
              <w:rPr>
                <w:rFonts w:hint="eastAsia"/>
              </w:rPr>
              <w:t>5. 保证系统的基本非功能指标：接口安全（登录鉴权）、数据一致性（外键/事务）、可维护性（模块化设计）。</w:t>
            </w:r>
          </w:p>
          <w:p w14:paraId="0249ABB0">
            <w:pPr>
              <w:adjustRightInd w:val="0"/>
              <w:snapToGrid w:val="0"/>
              <w:spacing w:before="156" w:beforeLines="50" w:after="156" w:afterLines="50"/>
              <w:ind w:firstLine="480"/>
            </w:pPr>
            <w:r>
              <w:rPr>
                <w:rFonts w:hint="eastAsia"/>
              </w:rPr>
              <w:t>四、研究内容</w:t>
            </w:r>
          </w:p>
          <w:p w14:paraId="5F4C3B07">
            <w:pPr>
              <w:ind w:firstLine="480"/>
            </w:pPr>
            <w:r>
              <w:rPr>
                <w:rFonts w:hint="eastAsia"/>
              </w:rPr>
              <w:t>1 系统总体架构设计</w:t>
            </w:r>
          </w:p>
          <w:p w14:paraId="0A816F50">
            <w:pPr>
              <w:ind w:firstLine="480"/>
            </w:pPr>
            <w:r>
              <w:rPr>
                <w:rFonts w:hint="eastAsia"/>
              </w:rPr>
              <w:t>系统采用前后端分离与多端协同：</w:t>
            </w:r>
          </w:p>
          <w:p w14:paraId="22980C88">
            <w:pPr>
              <w:ind w:firstLine="480"/>
            </w:pPr>
            <w:r>
              <w:rPr>
                <w:rFonts w:hint="eastAsia"/>
              </w:rPr>
              <w:t>Android端：仓库作业人员，完成扫码入库、查询批次信息、执行库存调整（按权限）。</w:t>
            </w:r>
          </w:p>
          <w:p w14:paraId="3E258749">
            <w:pPr>
              <w:ind w:firstLine="480"/>
            </w:pPr>
            <w:r>
              <w:rPr>
                <w:rFonts w:hint="eastAsia"/>
              </w:rPr>
              <w:t>Vue后台：管理员/主管，完成用户角色管理、产品管理、入库单管理、库存与日志查询、统计报表。</w:t>
            </w:r>
          </w:p>
          <w:p w14:paraId="40C3D91B">
            <w:pPr>
              <w:ind w:firstLine="480"/>
            </w:pPr>
            <w:r>
              <w:rPr>
                <w:rFonts w:hint="eastAsia"/>
              </w:rPr>
              <w:t xml:space="preserve"> Spring Boot：提供统一REST API，负责鉴权、业务规则、事务一致性、日志记录。</w:t>
            </w:r>
          </w:p>
          <w:p w14:paraId="346CB5A1">
            <w:pPr>
              <w:ind w:firstLine="480"/>
            </w:pPr>
            <w:r>
              <w:rPr>
                <w:rFonts w:hint="eastAsia"/>
              </w:rPr>
              <w:t>MySQL：存储业务数据与审计数据。</w:t>
            </w:r>
          </w:p>
          <w:p w14:paraId="4980ACA4">
            <w:pPr>
              <w:ind w:firstLine="480"/>
            </w:pPr>
            <w:r>
              <w:rPr>
                <w:rFonts w:hint="eastAsia"/>
              </w:rPr>
              <w:t>2 功能模块设计</w:t>
            </w:r>
          </w:p>
          <w:p w14:paraId="686BF088">
            <w:pPr>
              <w:ind w:firstLine="480"/>
            </w:pPr>
            <w:r>
              <w:rPr>
                <w:rFonts w:hint="eastAsia"/>
              </w:rPr>
              <w:t>用户与权限模块：用户登录、角色管理、部门管理、用户启用/禁用；接口按角色授权。</w:t>
            </w:r>
          </w:p>
          <w:p w14:paraId="0FF79343">
            <w:pPr>
              <w:ind w:firstLine="480"/>
            </w:pPr>
            <w:r>
              <w:rPr>
                <w:rFonts w:hint="eastAsia"/>
              </w:rPr>
              <w:t>产品模块：SKU唯一、产品信息维护、查询检索。</w:t>
            </w:r>
          </w:p>
          <w:p w14:paraId="27D91C80">
            <w:pPr>
              <w:ind w:firstLine="480"/>
            </w:pPr>
            <w:r>
              <w:rPr>
                <w:rFonts w:hint="eastAsia"/>
              </w:rPr>
              <w:t>入库管理模块：入库单创建、状态流转（如：新建/已入库/已完成）、备注。</w:t>
            </w:r>
          </w:p>
          <w:p w14:paraId="4F2725F4">
            <w:pPr>
              <w:ind w:firstLine="480"/>
            </w:pPr>
            <w:r>
              <w:rPr>
                <w:rFonts w:hint="eastAsia"/>
              </w:rPr>
              <w:t>库存批次模块：批次生成（batch_code）、库存数量维护、批次入库时间记录（received_at）。</w:t>
            </w:r>
          </w:p>
          <w:p w14:paraId="2BE7D81C">
            <w:pPr>
              <w:ind w:firstLine="480"/>
            </w:pPr>
            <w:r>
              <w:rPr>
                <w:rFonts w:hint="eastAsia"/>
              </w:rPr>
              <w:t>库存异动模块：出入库、盘点调整等统一写入 transaction_logs，保证“账”可追溯。</w:t>
            </w:r>
          </w:p>
          <w:p w14:paraId="785A752C">
            <w:pPr>
              <w:ind w:firstLine="480"/>
            </w:pPr>
            <w:r>
              <w:rPr>
                <w:rFonts w:hint="eastAsia"/>
              </w:rPr>
              <w:t>统计与查询模块：按产品/批次/时间范围统计入库量、异动量与当前库存，后台展示图表。</w:t>
            </w:r>
          </w:p>
          <w:p w14:paraId="414E125E">
            <w:pPr>
              <w:adjustRightInd w:val="0"/>
              <w:snapToGrid w:val="0"/>
              <w:spacing w:before="156" w:beforeLines="50" w:after="156" w:afterLines="50"/>
              <w:ind w:firstLine="480"/>
            </w:pPr>
            <w:r>
              <w:rPr>
                <w:rFonts w:hint="eastAsia"/>
              </w:rPr>
              <w:t>五、研究方法与手段</w:t>
            </w:r>
          </w:p>
          <w:p w14:paraId="6B2383E0">
            <w:pPr>
              <w:ind w:firstLine="480"/>
            </w:pPr>
            <w:r>
              <w:rPr>
                <w:rFonts w:hint="eastAsia"/>
              </w:rPr>
              <w:t xml:space="preserve">文献与标准调研法：参考仓储信息化相关研究与标准（如条码在仓储配送业务的应用指南、二维码标准），提炼业务流程与数据要素。 </w:t>
            </w:r>
          </w:p>
          <w:p w14:paraId="4C871F83">
            <w:pPr>
              <w:ind w:firstLine="480"/>
            </w:pPr>
            <w:r>
              <w:rPr>
                <w:rFonts w:hint="eastAsia"/>
              </w:rPr>
              <w:t>需求分析与原型设计法：面向典型仓库角色（管理员/仓库员/主管）梳理用例，输出页面原型与接口清单。</w:t>
            </w:r>
          </w:p>
          <w:p w14:paraId="76D0B73C">
            <w:pPr>
              <w:ind w:firstLine="480"/>
            </w:pPr>
            <w:r>
              <w:rPr>
                <w:rFonts w:hint="eastAsia"/>
              </w:rPr>
              <w:t>数据库建模与规范化设计：以“批次库存 + 异动台账”为核心，采用主外键约束、唯一索引与必要冗余字段（如system_logs中的操作者信息）平衡一致性与查询效率。</w:t>
            </w:r>
          </w:p>
          <w:p w14:paraId="4012600C">
            <w:pPr>
              <w:ind w:firstLine="480"/>
            </w:pPr>
            <w:r>
              <w:rPr>
                <w:rFonts w:hint="eastAsia"/>
              </w:rPr>
              <w:t>工程化实现手段：后端：Spring Boot +（Spring Security/JWT）鉴权、分层架构（Controller/Service/Mapper）、事务管理；前端：Vue组件化开发、表格/表单/图表可视化；移动端：Android扫码组件 + 网络请求封装 + 本地缓存（可选）。</w:t>
            </w:r>
          </w:p>
          <w:p w14:paraId="1BFB91E4">
            <w:pPr>
              <w:ind w:firstLine="480"/>
            </w:pPr>
            <w:r>
              <w:rPr>
                <w:rFonts w:hint="eastAsia"/>
              </w:rPr>
              <w:t>测试与验证方法：单元测试（关键Service）、接口联调测试（Postman/Swagger）、典型业务流程测试（入库/调整/查询/审计）。</w:t>
            </w:r>
          </w:p>
          <w:p w14:paraId="1D189007">
            <w:pPr>
              <w:adjustRightInd w:val="0"/>
              <w:snapToGrid w:val="0"/>
              <w:spacing w:before="156" w:beforeLines="50" w:after="156" w:afterLines="50"/>
              <w:ind w:firstLine="480"/>
            </w:pPr>
            <w:r>
              <w:rPr>
                <w:rFonts w:hint="eastAsia"/>
              </w:rPr>
              <w:t>六、进度安排</w:t>
            </w:r>
          </w:p>
          <w:p w14:paraId="525A18DC">
            <w:pPr>
              <w:adjustRightInd w:val="0"/>
              <w:snapToGrid w:val="0"/>
              <w:ind w:firstLine="480"/>
              <w:rPr>
                <w:rFonts w:hint="eastAsia" w:hAnsi="宋体"/>
              </w:rPr>
            </w:pPr>
            <w:r>
              <w:rPr>
                <w:rFonts w:hint="eastAsia" w:hAnsi="宋体"/>
              </w:rPr>
              <w:t>第1–2周：选题调研、需求分析、参考文献整理需求说明、用例清单、调研综述</w:t>
            </w:r>
          </w:p>
          <w:p w14:paraId="6578923A">
            <w:pPr>
              <w:adjustRightInd w:val="0"/>
              <w:snapToGrid w:val="0"/>
              <w:ind w:firstLine="480"/>
              <w:rPr>
                <w:rFonts w:hint="eastAsia" w:hAnsi="宋体"/>
              </w:rPr>
            </w:pPr>
            <w:r>
              <w:rPr>
                <w:rFonts w:hint="eastAsia" w:hAnsi="宋体"/>
              </w:rPr>
              <w:t>第3–4周：总体架构设计、数据库完善、接口草案，架构图、ER图、接口文档初稿</w:t>
            </w:r>
          </w:p>
          <w:p w14:paraId="5D8EA0E5">
            <w:pPr>
              <w:adjustRightInd w:val="0"/>
              <w:snapToGrid w:val="0"/>
              <w:ind w:firstLine="480"/>
              <w:rPr>
                <w:rFonts w:hint="eastAsia" w:hAnsi="宋体"/>
              </w:rPr>
            </w:pPr>
            <w:r>
              <w:rPr>
                <w:rFonts w:hint="eastAsia" w:hAnsi="宋体"/>
              </w:rPr>
              <w:t>第5–8周LSpring Boot后端开发（鉴权/用户/产品/入库/库存/日志）可运行后端、核心接口联调通过</w:t>
            </w:r>
          </w:p>
          <w:p w14:paraId="43BF6BA0">
            <w:pPr>
              <w:adjustRightInd w:val="0"/>
              <w:snapToGrid w:val="0"/>
              <w:ind w:firstLine="480"/>
              <w:rPr>
                <w:rFonts w:hint="eastAsia" w:hAnsi="宋体"/>
              </w:rPr>
            </w:pPr>
            <w:r>
              <w:rPr>
                <w:rFonts w:hint="eastAsia" w:hAnsi="宋体"/>
              </w:rPr>
              <w:t>第9–11周：Vue后台开发（管理功能+统计查询）后台主要页面、图表与查询</w:t>
            </w:r>
          </w:p>
          <w:p w14:paraId="2190AB53">
            <w:pPr>
              <w:adjustRightInd w:val="0"/>
              <w:snapToGrid w:val="0"/>
              <w:ind w:firstLine="480"/>
              <w:rPr>
                <w:rFonts w:hint="eastAsia" w:hAnsi="宋体"/>
              </w:rPr>
            </w:pPr>
            <w:r>
              <w:rPr>
                <w:rFonts w:hint="eastAsia" w:hAnsi="宋体"/>
              </w:rPr>
              <w:t>第12–13周：Android端开发（扫码入库/查询/调整）移动端核心流程跑通</w:t>
            </w:r>
          </w:p>
          <w:p w14:paraId="46094C98">
            <w:pPr>
              <w:adjustRightInd w:val="0"/>
              <w:snapToGrid w:val="0"/>
              <w:ind w:firstLine="480"/>
              <w:rPr>
                <w:rFonts w:hint="eastAsia" w:hAnsi="宋体"/>
              </w:rPr>
            </w:pPr>
            <w:r>
              <w:rPr>
                <w:rFonts w:hint="eastAsia" w:hAnsi="宋体"/>
              </w:rPr>
              <w:t>第14周：系统联调、异常处理、性能与安全加固联调报告、问题清单与修复</w:t>
            </w:r>
          </w:p>
          <w:p w14:paraId="6DCC3AF5">
            <w:pPr>
              <w:adjustRightInd w:val="0"/>
              <w:snapToGrid w:val="0"/>
              <w:ind w:firstLine="480"/>
              <w:rPr>
                <w:rFonts w:hint="eastAsia" w:hAnsi="宋体"/>
              </w:rPr>
            </w:pPr>
            <w:r>
              <w:rPr>
                <w:rFonts w:hint="eastAsia" w:hAnsi="宋体"/>
              </w:rPr>
              <w:t>第15–16周：论文撰写、图表整理、答辩准备论文定稿、PPT与演示视频</w:t>
            </w:r>
          </w:p>
        </w:tc>
      </w:tr>
      <w:tr w14:paraId="7E90E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gridSpan w:val="4"/>
          </w:tcPr>
          <w:p w14:paraId="1DC1FBDD">
            <w:pPr>
              <w:numPr>
                <w:ilvl w:val="0"/>
                <w:numId w:val="2"/>
              </w:numPr>
              <w:adjustRightInd w:val="0"/>
              <w:snapToGrid w:val="0"/>
              <w:ind w:firstLine="480"/>
            </w:pPr>
            <w:r>
              <w:rPr>
                <w:rFonts w:hint="eastAsia"/>
              </w:rPr>
              <w:t>方案可行性分析</w:t>
            </w:r>
          </w:p>
          <w:p w14:paraId="35E81EF5">
            <w:pPr>
              <w:ind w:firstLine="480"/>
            </w:pPr>
            <w:r>
              <w:rPr>
                <w:rFonts w:hint="eastAsia"/>
              </w:rPr>
              <w:t>技术可行性：技术栈成熟：Spring Boot、Vue、Android、MySQL均为成熟生态，学习资料与工程实践丰富。下图为技术框架</w:t>
            </w:r>
          </w:p>
          <w:p w14:paraId="24F87665">
            <w:pPr>
              <w:spacing w:line="240" w:lineRule="auto"/>
              <w:ind w:firstLine="0" w:firstLineChars="0"/>
            </w:pPr>
            <w:r>
              <w:rPr>
                <w:rFonts w:hint="eastAsia"/>
              </w:rPr>
              <w:drawing>
                <wp:inline distT="0" distB="0" distL="114300" distR="114300">
                  <wp:extent cx="5269230" cy="2550795"/>
                  <wp:effectExtent l="0" t="0" r="0" b="9525"/>
                  <wp:docPr id="1" name="图片 1" descr="Android-VUE-SpringBoot-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ndroid-VUE-SpringBoot-Mysql"/>
                          <pic:cNvPicPr>
                            <a:picLocks noChangeAspect="1"/>
                          </pic:cNvPicPr>
                        </pic:nvPicPr>
                        <pic:blipFill>
                          <a:blip r:embed="rId7"/>
                          <a:stretch>
                            <a:fillRect/>
                          </a:stretch>
                        </pic:blipFill>
                        <pic:spPr>
                          <a:xfrm>
                            <a:off x="0" y="0"/>
                            <a:ext cx="5269230" cy="2550795"/>
                          </a:xfrm>
                          <a:prstGeom prst="rect">
                            <a:avLst/>
                          </a:prstGeom>
                        </pic:spPr>
                      </pic:pic>
                    </a:graphicData>
                  </a:graphic>
                </wp:inline>
              </w:drawing>
            </w:r>
          </w:p>
          <w:p w14:paraId="6AE2CEEA">
            <w:pPr>
              <w:ind w:firstLine="480"/>
            </w:pPr>
            <w:r>
              <w:rPr>
                <w:rFonts w:hint="eastAsia"/>
              </w:rPr>
              <w:t xml:space="preserve"> 业务可落地：数据库已形成“批次库存+异动台账+审计日志”的可追溯结构，适合中小企业仓库的核心需求。</w:t>
            </w:r>
          </w:p>
          <w:p w14:paraId="1A28D920">
            <w:pPr>
              <w:ind w:firstLine="480"/>
            </w:pPr>
            <w:r>
              <w:rPr>
                <w:rFonts w:hint="eastAsia"/>
              </w:rPr>
              <w:t xml:space="preserve">标准支撑：条码/二维码具备明确标准体系，系统可按标准化思路实施编码与扫码流程。 </w:t>
            </w:r>
          </w:p>
          <w:p w14:paraId="2C1E6CAE">
            <w:pPr>
              <w:ind w:firstLine="480"/>
            </w:pPr>
            <w:r>
              <w:rPr>
                <w:rFonts w:hint="eastAsia"/>
              </w:rPr>
              <w:t>经济可行性：使用开源框架与常见硬件（手机扫码），无需采购昂贵RFID或自动化设备即可实现关键收益；对本科项目与中小企业场景具有成本优势。服务器可采用本地部署或云服务器低配部署，运维成本可控。</w:t>
            </w:r>
          </w:p>
          <w:p w14:paraId="263C10B3">
            <w:pPr>
              <w:ind w:firstLine="480"/>
            </w:pPr>
            <w:r>
              <w:rPr>
                <w:rFonts w:hint="eastAsia"/>
              </w:rPr>
              <w:t>运行可行性：多端协同符合实际岗位分工：仓库员用移动端完成作业，管理员用后台做配置与监督。通过角色权限与审计日志降低误操作风险，提升可追责性。</w:t>
            </w:r>
          </w:p>
          <w:p w14:paraId="7FEB830D">
            <w:pPr>
              <w:numPr>
                <w:ilvl w:val="0"/>
                <w:numId w:val="2"/>
              </w:numPr>
              <w:adjustRightInd w:val="0"/>
              <w:snapToGrid w:val="0"/>
              <w:spacing w:before="156" w:beforeLines="50" w:after="156" w:afterLines="50"/>
              <w:ind w:left="0" w:leftChars="0" w:firstLine="480" w:firstLineChars="200"/>
              <w:rPr>
                <w:rFonts w:hint="eastAsia"/>
              </w:rPr>
            </w:pPr>
            <w:r>
              <w:rPr>
                <w:rFonts w:hint="eastAsia"/>
              </w:rPr>
              <w:t>主要参考文献</w:t>
            </w:r>
          </w:p>
          <w:p w14:paraId="0B2B1ED6">
            <w:pPr>
              <w:numPr>
                <w:ilvl w:val="0"/>
                <w:numId w:val="3"/>
              </w:numPr>
              <w:adjustRightInd w:val="0"/>
              <w:snapToGrid w:val="0"/>
              <w:spacing w:before="156" w:beforeLines="50" w:after="156" w:afterLines="50"/>
              <w:ind w:left="425" w:leftChars="0" w:hanging="425" w:firstLineChars="0"/>
              <w:rPr>
                <w:rFonts w:hint="eastAsia"/>
              </w:rPr>
            </w:pPr>
            <w:bookmarkStart w:id="0" w:name="_GoBack"/>
            <w:r>
              <w:rPr>
                <w:rFonts w:hint="eastAsia"/>
              </w:rPr>
              <w:t>李操. 基于数字孪生技术的智能物流仓储系统优化研究[J].中国物流与采购,2025,(13):87-88.DOI:10.16079/j.cnki.issn1671-6663.2025.13.019.</w:t>
            </w:r>
          </w:p>
          <w:p w14:paraId="466A902A">
            <w:pPr>
              <w:numPr>
                <w:ilvl w:val="0"/>
                <w:numId w:val="3"/>
              </w:numPr>
              <w:adjustRightInd w:val="0"/>
              <w:snapToGrid w:val="0"/>
              <w:spacing w:before="156" w:beforeLines="50" w:after="156" w:afterLines="50"/>
              <w:ind w:left="425" w:leftChars="0" w:hanging="425" w:firstLineChars="0"/>
              <w:rPr>
                <w:rFonts w:hint="eastAsia"/>
              </w:rPr>
            </w:pPr>
            <w:r>
              <w:rPr>
                <w:rFonts w:hint="eastAsia"/>
              </w:rPr>
              <w:t>胡建波,马建国,程娟,等.智慧物流与供应链基础[M].西南财经大学出版社:202408:347.</w:t>
            </w:r>
          </w:p>
          <w:p w14:paraId="105524AD">
            <w:pPr>
              <w:numPr>
                <w:ilvl w:val="0"/>
                <w:numId w:val="3"/>
              </w:numPr>
              <w:adjustRightInd w:val="0"/>
              <w:snapToGrid w:val="0"/>
              <w:spacing w:before="156" w:beforeLines="50" w:after="156" w:afterLines="50"/>
              <w:ind w:left="425" w:leftChars="0" w:hanging="425" w:firstLineChars="0"/>
              <w:rPr>
                <w:rFonts w:hint="eastAsia"/>
              </w:rPr>
            </w:pPr>
            <w:r>
              <w:rPr>
                <w:rFonts w:hint="eastAsia"/>
              </w:rPr>
              <w:t>王玉魁,李峰,乔彦超,等. 基于Springboot与Vue框架的仓储管理系统设计与实现[J].河南科技,2024,51(18):29-33.DOI:10.19968/j.cnki.hnkj.1003-5168.2024.18.006.</w:t>
            </w:r>
          </w:p>
          <w:p w14:paraId="0BD7326E">
            <w:pPr>
              <w:numPr>
                <w:ilvl w:val="0"/>
                <w:numId w:val="3"/>
              </w:numPr>
              <w:adjustRightInd w:val="0"/>
              <w:snapToGrid w:val="0"/>
              <w:spacing w:before="156" w:beforeLines="50" w:after="156" w:afterLines="50"/>
              <w:ind w:left="425" w:leftChars="0" w:hanging="425" w:firstLineChars="0"/>
              <w:rPr>
                <w:rFonts w:hint="eastAsia"/>
              </w:rPr>
            </w:pPr>
            <w:r>
              <w:rPr>
                <w:rFonts w:hint="eastAsia"/>
              </w:rPr>
              <w:t>许佳佳.智能生产与仓储管理系统程序设计与实现[D].电子科技大学,2020.DOI:10.27005/d.cnki.gdzku.2020.002701.</w:t>
            </w:r>
          </w:p>
          <w:p w14:paraId="7B16CE44">
            <w:pPr>
              <w:numPr>
                <w:ilvl w:val="0"/>
                <w:numId w:val="3"/>
              </w:numPr>
              <w:adjustRightInd w:val="0"/>
              <w:snapToGrid w:val="0"/>
              <w:spacing w:before="156" w:beforeLines="50" w:after="156" w:afterLines="50"/>
              <w:ind w:left="425" w:leftChars="0" w:hanging="425" w:firstLineChars="0"/>
              <w:rPr>
                <w:rFonts w:hint="eastAsia"/>
              </w:rPr>
            </w:pPr>
            <w:r>
              <w:rPr>
                <w:rFonts w:hint="eastAsia"/>
              </w:rPr>
              <w:t>文家朝,杨辉. 基于ZXing开源库的二维码生成研究[J].电脑知识与技术,2021,17(03):87-89.DOI:10.14004/j.cnki.ckt.2021.0135.</w:t>
            </w:r>
          </w:p>
          <w:p w14:paraId="11EA0E97">
            <w:pPr>
              <w:numPr>
                <w:ilvl w:val="0"/>
                <w:numId w:val="3"/>
              </w:numPr>
              <w:adjustRightInd w:val="0"/>
              <w:snapToGrid w:val="0"/>
              <w:spacing w:before="156" w:beforeLines="50" w:after="156" w:afterLines="50"/>
              <w:ind w:left="425" w:leftChars="0" w:hanging="425" w:firstLineChars="0"/>
              <w:rPr>
                <w:rFonts w:hint="eastAsia"/>
              </w:rPr>
            </w:pPr>
            <w:r>
              <w:rPr>
                <w:rFonts w:hint="eastAsia"/>
              </w:rPr>
              <w:t>刘望龙,陈元枝,王梓豪,等. 基于ZXing的彩色QR码自适应识读与定位方法[J].桂林电子科技大学学报,2025,45(01):49-53.DOI:10.16725/j.1673-808X.2022324.</w:t>
            </w:r>
          </w:p>
          <w:p w14:paraId="5F46C33E">
            <w:pPr>
              <w:numPr>
                <w:ilvl w:val="0"/>
                <w:numId w:val="3"/>
              </w:numPr>
              <w:adjustRightInd w:val="0"/>
              <w:snapToGrid w:val="0"/>
              <w:spacing w:before="156" w:beforeLines="50" w:after="156" w:afterLines="50"/>
              <w:ind w:left="425" w:leftChars="0" w:hanging="425" w:firstLineChars="0"/>
              <w:rPr>
                <w:rFonts w:hint="eastAsia"/>
              </w:rPr>
            </w:pPr>
            <w:r>
              <w:rPr>
                <w:rFonts w:hint="eastAsia"/>
              </w:rPr>
              <w:t>Feng Z ,Lv D ,Xiong L , et al. Simultaneous Detection of Hydrogen and Acetylene Using a Photoacoustic Gas Sensor Based on Frequency Tracking and WMS-2f Technique.[J].Analytical chemistry,2025,DOI:10.1021/ACS.ANALCHEM.5C05394.</w:t>
            </w:r>
          </w:p>
          <w:p w14:paraId="51981577">
            <w:pPr>
              <w:numPr>
                <w:ilvl w:val="0"/>
                <w:numId w:val="3"/>
              </w:numPr>
              <w:adjustRightInd w:val="0"/>
              <w:snapToGrid w:val="0"/>
              <w:spacing w:before="156" w:beforeLines="50" w:after="156" w:afterLines="50"/>
              <w:ind w:left="425" w:leftChars="0" w:hanging="425" w:firstLineChars="0"/>
              <w:rPr>
                <w:rFonts w:hint="eastAsia"/>
              </w:rPr>
            </w:pPr>
            <w:r>
              <w:rPr>
                <w:rFonts w:hint="eastAsia"/>
              </w:rPr>
              <w:t>Selected Abstracts from the 2025 WMS Summer Conference: July 20-24, 2025, Lake Geneva, Wisconsin.[J].Wilderness &amp;amp; environmental medicine,2025,36(4):NP1-NP7.DOI:10.1177/10806032251387947.</w:t>
            </w:r>
          </w:p>
          <w:p w14:paraId="6F510734">
            <w:pPr>
              <w:numPr>
                <w:ilvl w:val="0"/>
                <w:numId w:val="3"/>
              </w:numPr>
              <w:adjustRightInd w:val="0"/>
              <w:snapToGrid w:val="0"/>
              <w:spacing w:before="156" w:beforeLines="50" w:after="156" w:afterLines="50"/>
              <w:ind w:left="425" w:leftChars="0" w:hanging="425" w:firstLineChars="0"/>
              <w:rPr>
                <w:rFonts w:hint="eastAsia"/>
              </w:rPr>
            </w:pPr>
            <w:r>
              <w:rPr>
                <w:rFonts w:hint="eastAsia"/>
              </w:rPr>
              <w:t>WMS Bolsters Partnership with Norwegian Cruise Line Holdings Ltd.[J].Wireless News,2025,</w:t>
            </w:r>
          </w:p>
          <w:p w14:paraId="01165869">
            <w:pPr>
              <w:numPr>
                <w:ilvl w:val="0"/>
                <w:numId w:val="3"/>
              </w:numPr>
              <w:adjustRightInd w:val="0"/>
              <w:snapToGrid w:val="0"/>
              <w:spacing w:before="156" w:beforeLines="50" w:after="156" w:afterLines="50"/>
              <w:ind w:left="425" w:leftChars="0" w:hanging="425" w:firstLineChars="0"/>
              <w:rPr>
                <w:rFonts w:hint="eastAsia"/>
              </w:rPr>
            </w:pPr>
            <w:r>
              <w:rPr>
                <w:rFonts w:hint="eastAsia"/>
              </w:rPr>
              <w:t>朱洪波. 基于RFID的智能分拣系统应用与研究[J].机械制造与自动化,2025,54(06):173-177.DOI:10.19344/j.cnki.issn1671-5276.2025.06.032.</w:t>
            </w:r>
          </w:p>
          <w:p w14:paraId="69AD0EEB">
            <w:pPr>
              <w:numPr>
                <w:ilvl w:val="0"/>
                <w:numId w:val="3"/>
              </w:numPr>
              <w:adjustRightInd w:val="0"/>
              <w:snapToGrid w:val="0"/>
              <w:spacing w:before="156" w:beforeLines="50" w:after="156" w:afterLines="50"/>
              <w:ind w:left="425" w:leftChars="0" w:hanging="425" w:firstLineChars="0"/>
              <w:rPr>
                <w:rFonts w:hint="eastAsia"/>
              </w:rPr>
            </w:pPr>
            <w:r>
              <w:rPr>
                <w:rFonts w:hint="eastAsia"/>
              </w:rPr>
              <w:t>曾蒙田,赵秋婷. RFID技术赋能高校实体学生档案管理[J].兰台世界,2025,(12):57-60.DOI:10.16565/j.cnki.1006-7744.2025.12.11.</w:t>
            </w:r>
          </w:p>
          <w:p w14:paraId="3CF7DF9F">
            <w:pPr>
              <w:numPr>
                <w:ilvl w:val="0"/>
                <w:numId w:val="3"/>
              </w:numPr>
              <w:adjustRightInd w:val="0"/>
              <w:snapToGrid w:val="0"/>
              <w:spacing w:before="156" w:beforeLines="50" w:after="156" w:afterLines="50"/>
              <w:ind w:left="425" w:leftChars="0" w:hanging="425" w:firstLineChars="0"/>
              <w:rPr>
                <w:rFonts w:hint="eastAsia"/>
              </w:rPr>
            </w:pPr>
            <w:r>
              <w:rPr>
                <w:rFonts w:hint="eastAsia"/>
              </w:rPr>
              <w:t>王晴. 应用Java EE技术实现仓库管理系统的开发研究[J].兰州石化职业技术大学学报,2025,25(01):31-36.</w:t>
            </w:r>
          </w:p>
          <w:p w14:paraId="705C8A6E">
            <w:pPr>
              <w:numPr>
                <w:ilvl w:val="0"/>
                <w:numId w:val="3"/>
              </w:numPr>
              <w:adjustRightInd w:val="0"/>
              <w:snapToGrid w:val="0"/>
              <w:spacing w:before="156" w:beforeLines="50" w:after="156" w:afterLines="50"/>
              <w:ind w:left="425" w:leftChars="0" w:hanging="425" w:firstLineChars="0"/>
              <w:rPr>
                <w:rFonts w:hint="eastAsia"/>
              </w:rPr>
            </w:pPr>
            <w:r>
              <w:rPr>
                <w:rFonts w:hint="eastAsia"/>
              </w:rPr>
              <w:t>姜禹行,王岩. 基于android的仓库管理系统的功能设计与实现[J].数码世界,2018,(10):202.</w:t>
            </w:r>
          </w:p>
          <w:bookmarkEnd w:id="0"/>
          <w:p w14:paraId="28614B49">
            <w:pPr>
              <w:adjustRightInd w:val="0"/>
              <w:snapToGrid w:val="0"/>
              <w:ind w:firstLine="480"/>
              <w:rPr>
                <w:color w:val="000000"/>
              </w:rPr>
            </w:pPr>
          </w:p>
          <w:p w14:paraId="3791F1D5">
            <w:pPr>
              <w:adjustRightInd w:val="0"/>
              <w:snapToGrid w:val="0"/>
              <w:ind w:firstLine="480"/>
              <w:rPr>
                <w:color w:val="000000"/>
              </w:rPr>
            </w:pPr>
          </w:p>
          <w:p w14:paraId="74F748B3">
            <w:pPr>
              <w:adjustRightInd w:val="0"/>
              <w:snapToGrid w:val="0"/>
              <w:spacing w:line="360" w:lineRule="auto"/>
              <w:ind w:firstLine="480"/>
              <w:rPr>
                <w:color w:val="000000"/>
              </w:rPr>
            </w:pPr>
          </w:p>
          <w:p w14:paraId="4DACF071">
            <w:pPr>
              <w:adjustRightInd w:val="0"/>
              <w:snapToGrid w:val="0"/>
              <w:spacing w:line="360" w:lineRule="auto"/>
              <w:ind w:firstLine="480"/>
              <w:rPr>
                <w:color w:val="FF0000"/>
              </w:rPr>
            </w:pPr>
          </w:p>
        </w:tc>
      </w:tr>
      <w:tr w14:paraId="6AD14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97" w:hRule="atLeast"/>
          <w:jc w:val="center"/>
        </w:trPr>
        <w:tc>
          <w:tcPr>
            <w:tcW w:w="8522" w:type="dxa"/>
            <w:gridSpan w:val="4"/>
          </w:tcPr>
          <w:p w14:paraId="188CACD1">
            <w:pPr>
              <w:adjustRightInd w:val="0"/>
              <w:snapToGrid w:val="0"/>
              <w:spacing w:line="360" w:lineRule="auto"/>
              <w:ind w:firstLine="480"/>
              <w:rPr>
                <w:rFonts w:hint="eastAsia" w:ascii="宋体" w:hAnsi="宋体"/>
              </w:rPr>
            </w:pPr>
            <w:r>
              <w:rPr>
                <w:rFonts w:hint="eastAsia" w:ascii="宋体" w:hAnsi="宋体"/>
              </w:rPr>
              <w:t>选题是否合适： 是□  否□</w:t>
            </w:r>
          </w:p>
          <w:p w14:paraId="67CE8898">
            <w:pPr>
              <w:adjustRightInd w:val="0"/>
              <w:snapToGrid w:val="0"/>
              <w:spacing w:line="360" w:lineRule="auto"/>
              <w:ind w:firstLine="480"/>
              <w:rPr>
                <w:rFonts w:hint="eastAsia" w:ascii="宋体" w:hAnsi="宋体"/>
              </w:rPr>
            </w:pPr>
            <w:r>
              <w:rPr>
                <w:rFonts w:hint="eastAsia" w:ascii="宋体" w:hAnsi="宋体"/>
              </w:rPr>
              <w:t>课题能否实现： 能□  不能□</w:t>
            </w:r>
          </w:p>
          <w:p w14:paraId="795B11AC">
            <w:pPr>
              <w:adjustRightInd w:val="0"/>
              <w:snapToGrid w:val="0"/>
              <w:spacing w:line="360" w:lineRule="auto"/>
              <w:ind w:firstLine="4320" w:firstLineChars="1800"/>
            </w:pPr>
            <w:r>
              <w:rPr>
                <w:rFonts w:hint="eastAsia"/>
              </w:rPr>
              <w:t>指导教师（签字）</w:t>
            </w:r>
          </w:p>
          <w:p w14:paraId="35C1E740">
            <w:pPr>
              <w:adjustRightInd w:val="0"/>
              <w:snapToGrid w:val="0"/>
              <w:spacing w:line="360" w:lineRule="auto"/>
              <w:ind w:firstLine="6240" w:firstLineChars="2600"/>
            </w:pPr>
            <w:r>
              <w:rPr>
                <w:rFonts w:hint="eastAsia"/>
              </w:rPr>
              <w:t>年   月   日</w:t>
            </w:r>
          </w:p>
        </w:tc>
      </w:tr>
      <w:tr w14:paraId="436AE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3" w:hRule="atLeast"/>
          <w:jc w:val="center"/>
        </w:trPr>
        <w:tc>
          <w:tcPr>
            <w:tcW w:w="8522" w:type="dxa"/>
            <w:gridSpan w:val="4"/>
          </w:tcPr>
          <w:p w14:paraId="7AB00814">
            <w:pPr>
              <w:adjustRightInd w:val="0"/>
              <w:snapToGrid w:val="0"/>
              <w:spacing w:line="360" w:lineRule="auto"/>
              <w:ind w:firstLine="480"/>
              <w:rPr>
                <w:rFonts w:hint="eastAsia" w:ascii="宋体" w:hAnsi="宋体"/>
              </w:rPr>
            </w:pPr>
            <w:r>
              <w:rPr>
                <w:rFonts w:hint="eastAsia" w:ascii="宋体" w:hAnsi="宋体"/>
              </w:rPr>
              <w:t>选题是否合适： 是□  否□</w:t>
            </w:r>
          </w:p>
          <w:p w14:paraId="4E32E645">
            <w:pPr>
              <w:adjustRightInd w:val="0"/>
              <w:snapToGrid w:val="0"/>
              <w:spacing w:line="360" w:lineRule="auto"/>
              <w:ind w:firstLine="480"/>
              <w:rPr>
                <w:rFonts w:hint="eastAsia" w:ascii="宋体" w:hAnsi="宋体"/>
              </w:rPr>
            </w:pPr>
            <w:r>
              <w:rPr>
                <w:rFonts w:hint="eastAsia" w:ascii="宋体" w:hAnsi="宋体"/>
              </w:rPr>
              <w:t>课题能否实现： 能□  不能□</w:t>
            </w:r>
          </w:p>
          <w:p w14:paraId="11B8BA6A">
            <w:pPr>
              <w:adjustRightInd w:val="0"/>
              <w:snapToGrid w:val="0"/>
              <w:spacing w:line="360" w:lineRule="auto"/>
              <w:ind w:firstLine="3840" w:firstLineChars="1600"/>
            </w:pPr>
            <w:r>
              <w:rPr>
                <w:rFonts w:hint="eastAsia"/>
              </w:rPr>
              <w:t>审题小组组长（签字）</w:t>
            </w:r>
          </w:p>
          <w:p w14:paraId="76D423B6">
            <w:pPr>
              <w:adjustRightInd w:val="0"/>
              <w:snapToGrid w:val="0"/>
              <w:spacing w:line="360" w:lineRule="auto"/>
              <w:ind w:firstLine="6240" w:firstLineChars="2600"/>
            </w:pPr>
            <w:r>
              <w:rPr>
                <w:rFonts w:hint="eastAsia"/>
              </w:rPr>
              <w:t>年   月   日</w:t>
            </w:r>
          </w:p>
        </w:tc>
      </w:tr>
    </w:tbl>
    <w:p w14:paraId="77436A0A">
      <w:pPr>
        <w:adjustRightInd w:val="0"/>
        <w:snapToGrid w:val="0"/>
        <w:spacing w:line="360" w:lineRule="auto"/>
        <w:ind w:firstLine="480"/>
      </w:pPr>
    </w:p>
    <w:sectPr>
      <w:footerReference r:id="rId5" w:type="default"/>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18B8E">
    <w:pPr>
      <w:pStyle w:val="2"/>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3912DA"/>
    <w:multiLevelType w:val="singleLevel"/>
    <w:tmpl w:val="933912DA"/>
    <w:lvl w:ilvl="0" w:tentative="0">
      <w:start w:val="1"/>
      <w:numFmt w:val="decimal"/>
      <w:lvlText w:val="[%1]"/>
      <w:lvlJc w:val="left"/>
      <w:pPr>
        <w:tabs>
          <w:tab w:val="left" w:pos="420"/>
        </w:tabs>
        <w:ind w:left="425" w:leftChars="0" w:hanging="425" w:firstLineChars="0"/>
      </w:pPr>
      <w:rPr>
        <w:rFonts w:hint="default"/>
      </w:rPr>
    </w:lvl>
  </w:abstractNum>
  <w:abstractNum w:abstractNumId="1">
    <w:nsid w:val="B455FD0A"/>
    <w:multiLevelType w:val="singleLevel"/>
    <w:tmpl w:val="B455FD0A"/>
    <w:lvl w:ilvl="0" w:tentative="0">
      <w:start w:val="1"/>
      <w:numFmt w:val="chineseCounting"/>
      <w:suff w:val="nothing"/>
      <w:lvlText w:val="%1、"/>
      <w:lvlJc w:val="left"/>
      <w:rPr>
        <w:rFonts w:hint="eastAsia"/>
      </w:rPr>
    </w:lvl>
  </w:abstractNum>
  <w:abstractNum w:abstractNumId="2">
    <w:nsid w:val="2F147655"/>
    <w:multiLevelType w:val="singleLevel"/>
    <w:tmpl w:val="2F147655"/>
    <w:lvl w:ilvl="0" w:tentative="0">
      <w:start w:val="7"/>
      <w:numFmt w:val="chineseCounting"/>
      <w:suff w:val="nothing"/>
      <w:lvlText w:val="%1、"/>
      <w:lvlJc w:val="left"/>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NhOTdjNTlkYTVmZTc4ZTY5ZTEzNTQ2YzcwNDY5NDcifQ=="/>
  </w:docVars>
  <w:rsids>
    <w:rsidRoot w:val="00402E50"/>
    <w:rsid w:val="000339E5"/>
    <w:rsid w:val="00033A77"/>
    <w:rsid w:val="00034EEE"/>
    <w:rsid w:val="000470BF"/>
    <w:rsid w:val="00047D64"/>
    <w:rsid w:val="000B1F97"/>
    <w:rsid w:val="000C0670"/>
    <w:rsid w:val="000C1338"/>
    <w:rsid w:val="000C4D26"/>
    <w:rsid w:val="000E44E9"/>
    <w:rsid w:val="000E4844"/>
    <w:rsid w:val="000E5C0E"/>
    <w:rsid w:val="00105BFF"/>
    <w:rsid w:val="001217F6"/>
    <w:rsid w:val="001513F5"/>
    <w:rsid w:val="00174511"/>
    <w:rsid w:val="001757F7"/>
    <w:rsid w:val="001A6777"/>
    <w:rsid w:val="001B5CA7"/>
    <w:rsid w:val="001D4547"/>
    <w:rsid w:val="001F4AD1"/>
    <w:rsid w:val="001F70AF"/>
    <w:rsid w:val="0020655A"/>
    <w:rsid w:val="00242D74"/>
    <w:rsid w:val="00250969"/>
    <w:rsid w:val="00262E8B"/>
    <w:rsid w:val="0026775B"/>
    <w:rsid w:val="00276F6A"/>
    <w:rsid w:val="00282E33"/>
    <w:rsid w:val="00290BCA"/>
    <w:rsid w:val="002918C1"/>
    <w:rsid w:val="00295108"/>
    <w:rsid w:val="00296DF7"/>
    <w:rsid w:val="002B73C9"/>
    <w:rsid w:val="002C44FD"/>
    <w:rsid w:val="002C4F38"/>
    <w:rsid w:val="00301F85"/>
    <w:rsid w:val="003175D0"/>
    <w:rsid w:val="00324446"/>
    <w:rsid w:val="00351F5C"/>
    <w:rsid w:val="0035269B"/>
    <w:rsid w:val="0037338F"/>
    <w:rsid w:val="00373E22"/>
    <w:rsid w:val="003878E7"/>
    <w:rsid w:val="003B0608"/>
    <w:rsid w:val="003B2B60"/>
    <w:rsid w:val="003B4E2B"/>
    <w:rsid w:val="003B7FF4"/>
    <w:rsid w:val="003C0214"/>
    <w:rsid w:val="003C4207"/>
    <w:rsid w:val="003C5E0F"/>
    <w:rsid w:val="003D080A"/>
    <w:rsid w:val="003F5E04"/>
    <w:rsid w:val="003F684F"/>
    <w:rsid w:val="00402E50"/>
    <w:rsid w:val="00424D6D"/>
    <w:rsid w:val="00426106"/>
    <w:rsid w:val="0042720D"/>
    <w:rsid w:val="00445F8A"/>
    <w:rsid w:val="00447F81"/>
    <w:rsid w:val="00454429"/>
    <w:rsid w:val="00454D1D"/>
    <w:rsid w:val="00456A0A"/>
    <w:rsid w:val="00460A54"/>
    <w:rsid w:val="0046272A"/>
    <w:rsid w:val="0048790B"/>
    <w:rsid w:val="004C6689"/>
    <w:rsid w:val="004F1F76"/>
    <w:rsid w:val="00501237"/>
    <w:rsid w:val="00504D8E"/>
    <w:rsid w:val="005067CA"/>
    <w:rsid w:val="005122C1"/>
    <w:rsid w:val="00527794"/>
    <w:rsid w:val="005347CA"/>
    <w:rsid w:val="00550DD5"/>
    <w:rsid w:val="00562F35"/>
    <w:rsid w:val="00564DDE"/>
    <w:rsid w:val="005666B3"/>
    <w:rsid w:val="005878C0"/>
    <w:rsid w:val="005A0972"/>
    <w:rsid w:val="005A2A48"/>
    <w:rsid w:val="005B15C7"/>
    <w:rsid w:val="005D4DA4"/>
    <w:rsid w:val="005E4427"/>
    <w:rsid w:val="00602B9B"/>
    <w:rsid w:val="00632596"/>
    <w:rsid w:val="0064709A"/>
    <w:rsid w:val="00650F89"/>
    <w:rsid w:val="00664B62"/>
    <w:rsid w:val="00693030"/>
    <w:rsid w:val="006A38A1"/>
    <w:rsid w:val="006C6EC9"/>
    <w:rsid w:val="006F1759"/>
    <w:rsid w:val="00704A77"/>
    <w:rsid w:val="007128C3"/>
    <w:rsid w:val="007228AD"/>
    <w:rsid w:val="00734F0F"/>
    <w:rsid w:val="00745264"/>
    <w:rsid w:val="00760C07"/>
    <w:rsid w:val="00777BC0"/>
    <w:rsid w:val="007B7542"/>
    <w:rsid w:val="007D1155"/>
    <w:rsid w:val="007E3E1F"/>
    <w:rsid w:val="007E4C7D"/>
    <w:rsid w:val="007F3F03"/>
    <w:rsid w:val="007F5939"/>
    <w:rsid w:val="00810C89"/>
    <w:rsid w:val="0082376D"/>
    <w:rsid w:val="00823DA0"/>
    <w:rsid w:val="00827C9E"/>
    <w:rsid w:val="0084158F"/>
    <w:rsid w:val="00844EB3"/>
    <w:rsid w:val="00860AE7"/>
    <w:rsid w:val="00890D32"/>
    <w:rsid w:val="0089503B"/>
    <w:rsid w:val="008D65C8"/>
    <w:rsid w:val="00913A91"/>
    <w:rsid w:val="0091544C"/>
    <w:rsid w:val="009320EE"/>
    <w:rsid w:val="00942FE9"/>
    <w:rsid w:val="00967123"/>
    <w:rsid w:val="0097144A"/>
    <w:rsid w:val="009E7618"/>
    <w:rsid w:val="009F35C8"/>
    <w:rsid w:val="00A0050C"/>
    <w:rsid w:val="00A032CB"/>
    <w:rsid w:val="00A22C94"/>
    <w:rsid w:val="00A318E9"/>
    <w:rsid w:val="00A40CDB"/>
    <w:rsid w:val="00A40DDF"/>
    <w:rsid w:val="00A41AB8"/>
    <w:rsid w:val="00A51F49"/>
    <w:rsid w:val="00A52171"/>
    <w:rsid w:val="00A5609C"/>
    <w:rsid w:val="00A5721D"/>
    <w:rsid w:val="00A70901"/>
    <w:rsid w:val="00A7427C"/>
    <w:rsid w:val="00A85659"/>
    <w:rsid w:val="00A94748"/>
    <w:rsid w:val="00AC01B0"/>
    <w:rsid w:val="00AF0FF4"/>
    <w:rsid w:val="00AF637D"/>
    <w:rsid w:val="00B43B04"/>
    <w:rsid w:val="00B57E6E"/>
    <w:rsid w:val="00B6409C"/>
    <w:rsid w:val="00B734AD"/>
    <w:rsid w:val="00B82B9F"/>
    <w:rsid w:val="00BA4EE4"/>
    <w:rsid w:val="00BE71BD"/>
    <w:rsid w:val="00C153FD"/>
    <w:rsid w:val="00C54D5F"/>
    <w:rsid w:val="00C93BCD"/>
    <w:rsid w:val="00CE2588"/>
    <w:rsid w:val="00CE75A4"/>
    <w:rsid w:val="00D1436D"/>
    <w:rsid w:val="00D14FE9"/>
    <w:rsid w:val="00D179A4"/>
    <w:rsid w:val="00D40AAA"/>
    <w:rsid w:val="00D53855"/>
    <w:rsid w:val="00D70AD7"/>
    <w:rsid w:val="00D73B38"/>
    <w:rsid w:val="00D77A0B"/>
    <w:rsid w:val="00E1375B"/>
    <w:rsid w:val="00E147F4"/>
    <w:rsid w:val="00E21BA7"/>
    <w:rsid w:val="00E273B0"/>
    <w:rsid w:val="00E46011"/>
    <w:rsid w:val="00E54C07"/>
    <w:rsid w:val="00E854E8"/>
    <w:rsid w:val="00EF0B70"/>
    <w:rsid w:val="00F061C2"/>
    <w:rsid w:val="00F1336A"/>
    <w:rsid w:val="00F25B29"/>
    <w:rsid w:val="00F30BCE"/>
    <w:rsid w:val="00F353F0"/>
    <w:rsid w:val="00F359CE"/>
    <w:rsid w:val="00F60535"/>
    <w:rsid w:val="00F70ECB"/>
    <w:rsid w:val="00FA76E5"/>
    <w:rsid w:val="00FB0882"/>
    <w:rsid w:val="00FD3E7D"/>
    <w:rsid w:val="00FE5A8C"/>
    <w:rsid w:val="00FF3671"/>
    <w:rsid w:val="027C4333"/>
    <w:rsid w:val="06585F98"/>
    <w:rsid w:val="087821DE"/>
    <w:rsid w:val="0BB023D2"/>
    <w:rsid w:val="0BF45EA7"/>
    <w:rsid w:val="114A615A"/>
    <w:rsid w:val="147541B9"/>
    <w:rsid w:val="16121FAE"/>
    <w:rsid w:val="175400B6"/>
    <w:rsid w:val="1A082499"/>
    <w:rsid w:val="238C1E10"/>
    <w:rsid w:val="2D571A3F"/>
    <w:rsid w:val="2D662499"/>
    <w:rsid w:val="323B2146"/>
    <w:rsid w:val="34F53D23"/>
    <w:rsid w:val="38EE3E7A"/>
    <w:rsid w:val="3AA82343"/>
    <w:rsid w:val="3B003F2D"/>
    <w:rsid w:val="3DD35929"/>
    <w:rsid w:val="456F7E7C"/>
    <w:rsid w:val="45837A44"/>
    <w:rsid w:val="47024B89"/>
    <w:rsid w:val="48CE6794"/>
    <w:rsid w:val="4BD72A88"/>
    <w:rsid w:val="53C02053"/>
    <w:rsid w:val="5B372BFB"/>
    <w:rsid w:val="5D6943D1"/>
    <w:rsid w:val="5E1B3D5C"/>
    <w:rsid w:val="619C5EAE"/>
    <w:rsid w:val="6ADC6F3F"/>
    <w:rsid w:val="6C271DDA"/>
    <w:rsid w:val="6C6B7060"/>
    <w:rsid w:val="6F1A6664"/>
    <w:rsid w:val="71F12FD3"/>
    <w:rsid w:val="775766A7"/>
    <w:rsid w:val="777F5BFE"/>
    <w:rsid w:val="7A28432B"/>
    <w:rsid w:val="7E37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widowControl w:val="0"/>
      <w:spacing w:line="420" w:lineRule="exact"/>
      <w:ind w:firstLine="640" w:firstLineChars="200"/>
      <w:jc w:val="both"/>
    </w:pPr>
    <w:rPr>
      <w:rFonts w:ascii="Times New Roman" w:hAnsi="Times New Roman" w:eastAsia="宋体" w:cs="Times New Roman"/>
      <w:kern w:val="2"/>
      <w:sz w:val="24"/>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link w:val="6"/>
    <w:qFormat/>
    <w:uiPriority w:val="0"/>
    <w:pPr>
      <w:tabs>
        <w:tab w:val="center" w:pos="4153"/>
        <w:tab w:val="right" w:pos="8306"/>
      </w:tabs>
      <w:snapToGrid w:val="0"/>
      <w:jc w:val="center"/>
    </w:pPr>
    <w:rPr>
      <w:sz w:val="18"/>
      <w:szCs w:val="18"/>
    </w:rPr>
  </w:style>
  <w:style w:type="character" w:customStyle="1" w:styleId="6">
    <w:name w:val="页眉 字符"/>
    <w:basedOn w:val="5"/>
    <w:link w:val="3"/>
    <w:qFormat/>
    <w:uiPriority w:val="0"/>
    <w:rPr>
      <w:kern w:val="2"/>
      <w:sz w:val="18"/>
      <w:szCs w:val="18"/>
    </w:rPr>
  </w:style>
  <w:style w:type="paragraph" w:customStyle="1" w:styleId="7">
    <w:name w:val="参考文献"/>
    <w:basedOn w:val="1"/>
    <w:qFormat/>
    <w:uiPriority w:val="0"/>
    <w:pPr>
      <w:adjustRightInd w:val="0"/>
      <w:snapToGrid w:val="0"/>
    </w:pPr>
    <w:rPr>
      <w:rFonts w:hint="eastAsia" w:ascii="宋体" w:hAnsi="宋体"/>
      <w:color w:val="000000"/>
      <w:sz w:val="21"/>
      <w:szCs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F22F89-4281-4CDB-9A45-CEB0DACA3EC1}">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6</Pages>
  <Words>2890</Words>
  <Characters>4163</Characters>
  <Lines>117</Lines>
  <Paragraphs>95</Paragraphs>
  <TotalTime>87</TotalTime>
  <ScaleCrop>false</ScaleCrop>
  <LinksUpToDate>false</LinksUpToDate>
  <CharactersWithSpaces>4312</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2010-03-15T11:48:00Z</dcterms:created>
  <dc:creator>User</dc:creator>
  <cp:lastModifiedBy>#%Code</cp:lastModifiedBy>
  <dcterms:modified xsi:type="dcterms:W3CDTF">2026-01-08T01:24:57Z</dcterms:modified>
  <dc:title>天津大学本科生毕业设计（论文）开题报告</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A22A682ED9C54329B3A2781703E8BD7E_13</vt:lpwstr>
  </property>
  <property fmtid="{D5CDD505-2E9C-101B-9397-08002B2CF9AE}" pid="4" name="KSOTemplateDocerSaveRecord">
    <vt:lpwstr>eyJoZGlkIjoiNjdmYWQyYjY1ZmVhOGRhNjI2ZWFjYWZjNDg0OTIwZTciLCJ1c2VySWQiOiIyODg0NTc3NjAifQ==</vt:lpwstr>
  </property>
</Properties>
</file>