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4CDD" w14:textId="77777777" w:rsidR="00CB4181" w:rsidRDefault="00CB4181">
      <w:pPr>
        <w:pStyle w:val="Title"/>
        <w:jc w:val="center"/>
        <w:rPr>
          <w:lang w:eastAsia="en-IN"/>
        </w:rPr>
      </w:pPr>
      <w:r>
        <w:rPr>
          <w:b/>
          <w:bCs/>
        </w:rPr>
        <w:t>Vidyut Prajna (Electric Intelligence)</w:t>
      </w:r>
    </w:p>
    <w:p w14:paraId="26FF3099" w14:textId="23BA54CB" w:rsidR="00CB4181" w:rsidRDefault="00CB4181" w:rsidP="00CB4181">
      <w:pPr>
        <w:pStyle w:val="Subtitle"/>
        <w:jc w:val="center"/>
        <w:rPr>
          <w:lang w:eastAsia="en-IN"/>
        </w:rPr>
      </w:pPr>
      <w:r>
        <w:rPr>
          <w:b/>
          <w:bCs/>
        </w:rPr>
        <w:t>Theme 9:</w:t>
      </w:r>
      <w:r>
        <w:t xml:space="preserve"> AI for EV Charging Optimization &amp; Infrastructure Planning by BESCOM</w:t>
      </w:r>
      <w:r>
        <w:br/>
      </w:r>
      <w:r>
        <w:rPr>
          <w:b/>
          <w:bCs/>
        </w:rPr>
        <w:t>Team:</w:t>
      </w:r>
      <w:r>
        <w:t xml:space="preserve"> Adil Farooq (Lead), Aashrith Reddy, Meher Praveen</w:t>
      </w:r>
    </w:p>
    <w:p w14:paraId="2EAD054E" w14:textId="76499C14" w:rsidR="00CB4181" w:rsidRDefault="00CB4181">
      <w:pPr>
        <w:pStyle w:val="Heading1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1. Executive Summary</w:t>
      </w:r>
    </w:p>
    <w:p w14:paraId="34E1020B" w14:textId="77777777" w:rsidR="00EF520C" w:rsidRPr="00EF520C" w:rsidRDefault="00EF520C" w:rsidP="00EF520C">
      <w:r w:rsidRPr="00EF520C">
        <w:t xml:space="preserve">As Bengaluru accelerates its Electric Vehicle (EV) transition, BESCOM faces the </w:t>
      </w:r>
      <w:r w:rsidRPr="00EF520C">
        <w:rPr>
          <w:b/>
          <w:bCs/>
        </w:rPr>
        <w:t>Coincident Peak Challenge</w:t>
      </w:r>
      <w:r w:rsidRPr="00EF520C">
        <w:t xml:space="preserve">: the high-probability overlap of vehicle charging with existing residential/commercial peak windows. Unmanaged charging creates localized thermal stress on distribution transformers (DTRs), threatening grid stability. </w:t>
      </w:r>
    </w:p>
    <w:p w14:paraId="3718321E" w14:textId="77777777" w:rsidR="00EF520C" w:rsidRPr="00EF520C" w:rsidRDefault="00EF520C" w:rsidP="00EF520C">
      <w:r w:rsidRPr="00EF520C">
        <w:rPr>
          <w:b/>
          <w:bCs/>
        </w:rPr>
        <w:t>Vidyut Prajna</w:t>
      </w:r>
      <w:r w:rsidRPr="00EF520C">
        <w:t xml:space="preserve"> is a non-invasive "sidecar" decision-support layer. It treats the city as a living energy organism, using </w:t>
      </w:r>
      <w:r w:rsidRPr="00EF520C">
        <w:rPr>
          <w:b/>
          <w:bCs/>
        </w:rPr>
        <w:t>Graph-based Neural Networks</w:t>
      </w:r>
      <w:r w:rsidRPr="00EF520C">
        <w:t xml:space="preserve"> to predict demand and </w:t>
      </w:r>
      <w:r w:rsidRPr="00EF520C">
        <w:rPr>
          <w:b/>
          <w:bCs/>
        </w:rPr>
        <w:t>Lagrangian Optimization</w:t>
      </w:r>
      <w:r w:rsidRPr="00EF520C">
        <w:t xml:space="preserve"> to balance load. Our solution ensures that the EV revolution supports, rather than stresses, the Bengaluru grid. </w:t>
      </w:r>
    </w:p>
    <w:p w14:paraId="2A3752F2" w14:textId="77777777" w:rsidR="00CB4181" w:rsidRDefault="00CB4181">
      <w:pPr>
        <w:pStyle w:val="Heading1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2. Problem Understanding &amp; Constraints</w:t>
      </w:r>
    </w:p>
    <w:p w14:paraId="70E25928" w14:textId="3E53A77E" w:rsidR="00EF520C" w:rsidRPr="00EF520C" w:rsidRDefault="00EF520C" w:rsidP="00EF520C">
      <w:pPr>
        <w:numPr>
          <w:ilvl w:val="0"/>
          <w:numId w:val="17"/>
        </w:numPr>
      </w:pPr>
      <w:r w:rsidRPr="00EF520C">
        <w:t xml:space="preserve">Grid failures often occur at the 11kV/440V transformer level even when city-wide load is stable. </w:t>
      </w:r>
    </w:p>
    <w:p w14:paraId="368347E5" w14:textId="44B9D663" w:rsidR="00EF520C" w:rsidRPr="00EF520C" w:rsidRDefault="00EF520C" w:rsidP="00EF520C">
      <w:pPr>
        <w:numPr>
          <w:ilvl w:val="0"/>
          <w:numId w:val="17"/>
        </w:numPr>
      </w:pPr>
      <w:r w:rsidRPr="00EF520C">
        <w:t xml:space="preserve">Demand is non-uniform; evening residential spikes in HSR Layout differ fundamentally from daytime logistics surges in </w:t>
      </w:r>
      <w:proofErr w:type="spellStart"/>
      <w:r w:rsidRPr="00EF520C">
        <w:t>Peenya</w:t>
      </w:r>
      <w:proofErr w:type="spellEnd"/>
      <w:r w:rsidRPr="00EF520C">
        <w:t xml:space="preserve">. </w:t>
      </w:r>
    </w:p>
    <w:p w14:paraId="6569F97A" w14:textId="77355D64" w:rsidR="00EF520C" w:rsidRDefault="00EF520C" w:rsidP="00EF520C">
      <w:pPr>
        <w:numPr>
          <w:ilvl w:val="0"/>
          <w:numId w:val="17"/>
        </w:numPr>
      </w:pPr>
      <w:r w:rsidRPr="00EF520C">
        <w:t xml:space="preserve">The system operates as a data-driven overlay with </w:t>
      </w:r>
      <w:r w:rsidRPr="00EF520C">
        <w:rPr>
          <w:b/>
          <w:bCs/>
        </w:rPr>
        <w:t>zero modification</w:t>
      </w:r>
      <w:r w:rsidRPr="00EF520C">
        <w:t xml:space="preserve"> to existing SCADA or hardware systems. </w:t>
      </w:r>
    </w:p>
    <w:p w14:paraId="1493A2ED" w14:textId="77777777" w:rsidR="00CE145C" w:rsidRDefault="00CE145C" w:rsidP="00CE145C">
      <w:pPr>
        <w:keepNext/>
      </w:pPr>
      <w:r w:rsidRPr="00CE145C">
        <w:lastRenderedPageBreak/>
        <w:drawing>
          <wp:inline distT="0" distB="0" distL="0" distR="0" wp14:anchorId="1FD35D01" wp14:editId="4EC180DB">
            <wp:extent cx="5731510" cy="2906395"/>
            <wp:effectExtent l="0" t="0" r="2540" b="8255"/>
            <wp:docPr id="151546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63698" name=""/>
                    <pic:cNvPicPr/>
                  </pic:nvPicPr>
                  <pic:blipFill rotWithShape="1">
                    <a:blip r:embed="rId6"/>
                    <a:srcRect t="7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4CB1A" w14:textId="77777777" w:rsidR="007047B7" w:rsidRPr="00EF520C" w:rsidRDefault="007047B7" w:rsidP="00CE145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5F1827">
        <w:t>Impact of Vidyut Prajna: Shifting coincident unmanaged EV demand (solid orange) to the optimized night-time valley (dashed green).</w:t>
      </w:r>
    </w:p>
    <w:p w14:paraId="5E39E175" w14:textId="77777777" w:rsidR="00CB4181" w:rsidRDefault="00CB4181">
      <w:pPr>
        <w:pStyle w:val="Heading1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3. Methodology: The Technical Engine</w:t>
      </w:r>
    </w:p>
    <w:p w14:paraId="48FFD48E" w14:textId="77777777" w:rsidR="00CB4181" w:rsidRDefault="00CB4181">
      <w:pPr>
        <w:pStyle w:val="Heading2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 xml:space="preserve">3.1 </w:t>
      </w:r>
      <w:proofErr w:type="spellStart"/>
      <w:r>
        <w:rPr>
          <w:rFonts w:asciiTheme="minorHAnsi" w:hAnsiTheme="minorHAnsi" w:cstheme="minorBidi"/>
        </w:rPr>
        <w:t>Spatio</w:t>
      </w:r>
      <w:proofErr w:type="spellEnd"/>
      <w:r>
        <w:rPr>
          <w:rFonts w:asciiTheme="minorHAnsi" w:hAnsiTheme="minorHAnsi" w:cstheme="minorBidi"/>
        </w:rPr>
        <w:t>-Temporal Graph Convolutional Networks (STGCN)</w:t>
      </w:r>
    </w:p>
    <w:p w14:paraId="59C3B315" w14:textId="77777777" w:rsidR="00EF520C" w:rsidRDefault="00EF520C" w:rsidP="00EF520C">
      <w:r w:rsidRPr="00EF520C">
        <w:t xml:space="preserve">We partition Bengaluru into hexagonal cells using </w:t>
      </w:r>
      <w:r w:rsidRPr="00EF520C">
        <w:rPr>
          <w:b/>
          <w:bCs/>
        </w:rPr>
        <w:t>Uber’s H3 Index (Level 9)</w:t>
      </w:r>
      <w:r w:rsidRPr="00EF520C">
        <w:t xml:space="preserve">. </w:t>
      </w:r>
    </w:p>
    <w:p w14:paraId="06D09324" w14:textId="77777777" w:rsidR="00CE145C" w:rsidRDefault="00CE145C" w:rsidP="00CE145C">
      <w:pPr>
        <w:keepNext/>
      </w:pPr>
      <w:r w:rsidRPr="00CE145C">
        <w:drawing>
          <wp:inline distT="0" distB="0" distL="0" distR="0" wp14:anchorId="03DEC5A1" wp14:editId="6FA87FE4">
            <wp:extent cx="5731510" cy="2893695"/>
            <wp:effectExtent l="0" t="0" r="2540" b="1905"/>
            <wp:docPr id="8766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1504" name=""/>
                    <pic:cNvPicPr/>
                  </pic:nvPicPr>
                  <pic:blipFill rotWithShape="1">
                    <a:blip r:embed="rId7"/>
                    <a:srcRect t="7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07571" w14:textId="77777777" w:rsidR="007047B7" w:rsidRPr="00EF520C" w:rsidRDefault="007047B7" w:rsidP="00CE145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082280">
        <w:t xml:space="preserve">The Isotropic Advantage: Unlike square grids with varying diagonal distances, H3 hexagons guarantee uniform </w:t>
      </w:r>
      <w:proofErr w:type="spellStart"/>
      <w:r w:rsidRPr="00082280">
        <w:t>neighbor</w:t>
      </w:r>
      <w:proofErr w:type="spellEnd"/>
      <w:r w:rsidRPr="00082280">
        <w:t xml:space="preserve"> distances, crucial for accurate Kernel Density Estimation (KDE).</w:t>
      </w:r>
    </w:p>
    <w:p w14:paraId="43BA1634" w14:textId="554CCF45" w:rsidR="00EF520C" w:rsidRPr="00EF520C" w:rsidRDefault="00EF520C" w:rsidP="00EF520C">
      <w:pPr>
        <w:numPr>
          <w:ilvl w:val="0"/>
          <w:numId w:val="18"/>
        </w:numPr>
      </w:pPr>
      <w:r w:rsidRPr="00EF520C">
        <w:t xml:space="preserve">Standard models ignore city topology. STGCN learns how a traffic bottleneck on the Outer Ring Road acts as a leading indicator for a charging spike in an adjacent cell 20 minutes later. </w:t>
      </w:r>
    </w:p>
    <w:p w14:paraId="54F2A01B" w14:textId="10046241" w:rsidR="00EF520C" w:rsidRPr="00EF520C" w:rsidRDefault="00EF520C" w:rsidP="00EF520C">
      <w:pPr>
        <w:numPr>
          <w:ilvl w:val="0"/>
          <w:numId w:val="18"/>
        </w:numPr>
      </w:pPr>
      <w:r w:rsidRPr="00EF520C">
        <w:lastRenderedPageBreak/>
        <w:t xml:space="preserve">Unlike square grids, hexagons have equal distances between all </w:t>
      </w:r>
      <w:r w:rsidR="00CB4181" w:rsidRPr="00EF520C">
        <w:t>neighbours</w:t>
      </w:r>
      <w:r w:rsidRPr="00EF520C">
        <w:t xml:space="preserve">, which is mathematically vital for accurate </w:t>
      </w:r>
      <w:r w:rsidRPr="00EF520C">
        <w:rPr>
          <w:b/>
          <w:bCs/>
        </w:rPr>
        <w:t>Kernel Density Estimation (KDE)</w:t>
      </w:r>
      <w:r w:rsidRPr="00EF520C">
        <w:t xml:space="preserve"> of vehicle arrivals. </w:t>
      </w:r>
    </w:p>
    <w:p w14:paraId="52332644" w14:textId="77777777" w:rsidR="00CB4181" w:rsidRDefault="00CB4181">
      <w:pPr>
        <w:pStyle w:val="Heading2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3.2 Constraint-Aware Scheduling (The Optimizer)</w:t>
      </w:r>
    </w:p>
    <w:p w14:paraId="275EE687" w14:textId="77777777" w:rsidR="00EF520C" w:rsidRPr="00EF520C" w:rsidRDefault="00EF520C" w:rsidP="00EF520C">
      <w:r w:rsidRPr="00EF520C">
        <w:t xml:space="preserve">We implement a </w:t>
      </w:r>
      <w:r w:rsidRPr="00EF520C">
        <w:rPr>
          <w:b/>
          <w:bCs/>
        </w:rPr>
        <w:t>Lagrangian-based Multi-Criteria Decision Making (MCDM)</w:t>
      </w:r>
      <w:r w:rsidRPr="00EF520C">
        <w:t xml:space="preserve"> engine. </w:t>
      </w:r>
    </w:p>
    <w:p w14:paraId="4E69324C" w14:textId="77777777" w:rsidR="00CB4181" w:rsidRDefault="00EF520C" w:rsidP="00EF520C">
      <w:pPr>
        <w:numPr>
          <w:ilvl w:val="0"/>
          <w:numId w:val="19"/>
        </w:numPr>
      </w:pPr>
      <w:r w:rsidRPr="00EF520C">
        <w:t>We minimize the global grid variance</w:t>
      </w:r>
    </w:p>
    <w:p w14:paraId="1FF06991" w14:textId="19E82563" w:rsidR="00F64686" w:rsidRPr="00F64686" w:rsidRDefault="00F64686" w:rsidP="00CB4181">
      <w:pPr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J = </m:t>
          </m:r>
          <m:r>
            <w:rPr>
              <w:rFonts w:ascii="Cambria Math" w:eastAsiaTheme="minorEastAsia" w:hAnsi="Cambria Math"/>
            </w:rPr>
            <m:t>α⋅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∑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grid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avg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r>
            <w:rPr>
              <w:rFonts w:ascii="Cambria Math" w:eastAsiaTheme="minorEastAsia" w:hAnsi="Cambria Math"/>
            </w:rPr>
            <m:t>β⋅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∑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So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</m:oMath>
      </m:oMathPara>
    </w:p>
    <w:p w14:paraId="3E299E55" w14:textId="38B63DAB" w:rsidR="00EF520C" w:rsidRPr="00F64686" w:rsidRDefault="00EF520C" w:rsidP="00CB4181">
      <w:pPr>
        <w:ind w:left="1080"/>
        <w:rPr>
          <w:rFonts w:eastAsiaTheme="minorEastAsia"/>
        </w:rPr>
      </w:pPr>
      <w:r w:rsidRPr="00CB4181">
        <w:rPr>
          <w:i/>
          <w:iCs/>
        </w:rPr>
        <w:t>Where</w:t>
      </w:r>
      <w:r w:rsidR="00F64686">
        <w:rPr>
          <w:i/>
          <w:iCs/>
        </w:rPr>
        <w:t xml:space="preserve"> α</w:t>
      </w:r>
      <w:r w:rsidRPr="00CB4181">
        <w:rPr>
          <w:i/>
          <w:iCs/>
        </w:rPr>
        <w:t xml:space="preserve"> minimizes load variance and </w:t>
      </w:r>
      <w:r w:rsidR="00F64686">
        <w:rPr>
          <w:i/>
          <w:iCs/>
        </w:rPr>
        <w:t xml:space="preserve">β </w:t>
      </w:r>
      <w:r w:rsidRPr="00CB4181">
        <w:rPr>
          <w:i/>
          <w:iCs/>
        </w:rPr>
        <w:t xml:space="preserve">ensures high-priority vehicles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CB4181">
        <w:rPr>
          <w:i/>
          <w:iCs/>
        </w:rPr>
        <w:t xml:space="preserve"> meet their State of Charge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So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CB4181">
        <w:rPr>
          <w:i/>
          <w:iCs/>
        </w:rPr>
        <w:t xml:space="preserve"> targets.</w:t>
      </w:r>
    </w:p>
    <w:p w14:paraId="5DABF752" w14:textId="4B7D851E" w:rsidR="00EF520C" w:rsidRPr="00EF520C" w:rsidRDefault="00EF520C" w:rsidP="00EF520C">
      <w:pPr>
        <w:numPr>
          <w:ilvl w:val="0"/>
          <w:numId w:val="19"/>
        </w:numPr>
      </w:pPr>
      <w:r w:rsidRPr="00EF520C">
        <w:t>The system searches for the "Point of Minimum Regret"</w:t>
      </w:r>
      <w:r w:rsidR="00CB4181">
        <w:t xml:space="preserve"> </w:t>
      </w:r>
      <w:r w:rsidRPr="00EF520C">
        <w:t xml:space="preserve">balancing grid health against user service levels. </w:t>
      </w:r>
    </w:p>
    <w:p w14:paraId="112C85F8" w14:textId="53AA43B8" w:rsidR="007047B7" w:rsidRDefault="007047B7" w:rsidP="007047B7">
      <w:pPr>
        <w:pStyle w:val="Heading1"/>
        <w:rPr>
          <w:rFonts w:cstheme="minorBidi"/>
          <w:lang w:eastAsia="en-IN"/>
        </w:rPr>
      </w:pPr>
      <w:r>
        <w:rPr>
          <w:rFonts w:cstheme="minorBidi"/>
        </w:rPr>
        <w:t>4. Infrastructure Siting Logic</w:t>
      </w:r>
    </w:p>
    <w:p w14:paraId="7CEC0936" w14:textId="77777777" w:rsidR="00EF520C" w:rsidRPr="00EF520C" w:rsidRDefault="00EF520C" w:rsidP="00EF520C">
      <w:r w:rsidRPr="00EF520C">
        <w:t xml:space="preserve">Our siting engine identifies "Future-Proof" corridors by fusing three critical data layers: </w:t>
      </w:r>
    </w:p>
    <w:p w14:paraId="062A5C99" w14:textId="28821D99" w:rsidR="00EF520C" w:rsidRPr="00EF520C" w:rsidRDefault="00EF520C" w:rsidP="00EF520C">
      <w:pPr>
        <w:numPr>
          <w:ilvl w:val="0"/>
          <w:numId w:val="20"/>
        </w:numPr>
      </w:pPr>
      <w:r w:rsidRPr="00EF520C">
        <w:t>Mapping congregation points for 2W/3W delivery fleets (Swiggy/Zomato)</w:t>
      </w:r>
      <w:r w:rsidR="00CB4181">
        <w:t xml:space="preserve"> </w:t>
      </w:r>
      <w:r w:rsidRPr="00EF520C">
        <w:t xml:space="preserve">the primary drivers of near-term demand. </w:t>
      </w:r>
    </w:p>
    <w:p w14:paraId="222F165A" w14:textId="22B643AF" w:rsidR="00EF520C" w:rsidRPr="00EF520C" w:rsidRDefault="00EF520C" w:rsidP="00EF520C">
      <w:pPr>
        <w:numPr>
          <w:ilvl w:val="0"/>
          <w:numId w:val="20"/>
        </w:numPr>
      </w:pPr>
      <w:r w:rsidRPr="00EF520C">
        <w:t xml:space="preserve">Real-time and historical spare capacity in local transformers. </w:t>
      </w:r>
    </w:p>
    <w:p w14:paraId="03793A17" w14:textId="454F66E4" w:rsidR="00EF520C" w:rsidRPr="00EF520C" w:rsidRDefault="00EF520C" w:rsidP="00EF520C">
      <w:pPr>
        <w:numPr>
          <w:ilvl w:val="0"/>
          <w:numId w:val="20"/>
        </w:numPr>
      </w:pPr>
      <w:r w:rsidRPr="00EF520C">
        <w:t xml:space="preserve">Hexagonal cells where demand growth outpaces current charger density within a 500m radius. </w:t>
      </w:r>
    </w:p>
    <w:p w14:paraId="76D2C35E" w14:textId="77777777" w:rsidR="00CB4181" w:rsidRDefault="00CB4181">
      <w:pPr>
        <w:pStyle w:val="Heading1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5. System Architecture: The Isolation Layer</w:t>
      </w:r>
    </w:p>
    <w:p w14:paraId="53A00E09" w14:textId="77777777" w:rsidR="00EF520C" w:rsidRPr="00EF520C" w:rsidRDefault="00EF520C" w:rsidP="00EF520C">
      <w:r w:rsidRPr="00EF520C">
        <w:t xml:space="preserve">The architecture is designed for </w:t>
      </w:r>
      <w:r w:rsidRPr="00EF520C">
        <w:rPr>
          <w:b/>
          <w:bCs/>
        </w:rPr>
        <w:t>Zero-Risk deployment</w:t>
      </w:r>
      <w:r w:rsidRPr="00EF520C">
        <w:t xml:space="preserve">. </w:t>
      </w:r>
    </w:p>
    <w:p w14:paraId="3E4752B3" w14:textId="122B1C43" w:rsidR="00EF520C" w:rsidRPr="00EF520C" w:rsidRDefault="00EF520C" w:rsidP="00EF520C">
      <w:pPr>
        <w:numPr>
          <w:ilvl w:val="0"/>
          <w:numId w:val="21"/>
        </w:numPr>
      </w:pPr>
      <w:r w:rsidRPr="00EF520C">
        <w:t xml:space="preserve">Ingests telemetry (OCPP, traffic, weather, grid) using </w:t>
      </w:r>
      <w:r w:rsidRPr="00EF520C">
        <w:rPr>
          <w:b/>
          <w:bCs/>
        </w:rPr>
        <w:t>Apache Kafka</w:t>
      </w:r>
      <w:r w:rsidRPr="00EF520C">
        <w:t xml:space="preserve"> with K-anonymity masking for privacy. </w:t>
      </w:r>
    </w:p>
    <w:p w14:paraId="513C784A" w14:textId="1AE7EB3E" w:rsidR="00EF520C" w:rsidRPr="00EF520C" w:rsidRDefault="00EF520C" w:rsidP="00EF520C">
      <w:pPr>
        <w:numPr>
          <w:ilvl w:val="0"/>
          <w:numId w:val="21"/>
        </w:numPr>
      </w:pPr>
      <w:r w:rsidRPr="00EF520C">
        <w:t xml:space="preserve">Processes data through the STGCN and Lagrangian optimizer. </w:t>
      </w:r>
    </w:p>
    <w:p w14:paraId="17DF91DE" w14:textId="4E386624" w:rsidR="00EF520C" w:rsidRPr="00EF520C" w:rsidRDefault="00EF520C" w:rsidP="00EF520C">
      <w:pPr>
        <w:numPr>
          <w:ilvl w:val="0"/>
          <w:numId w:val="21"/>
        </w:numPr>
      </w:pPr>
      <w:r w:rsidRPr="00EF520C">
        <w:t xml:space="preserve">Surfaces actionable insights (ranked zones, suggested windows, and feeder impact summaries) to the Planner Dashboard. </w:t>
      </w:r>
    </w:p>
    <w:p w14:paraId="76EBA319" w14:textId="0B42D81D" w:rsidR="00EF520C" w:rsidRDefault="00EF520C" w:rsidP="00EF520C">
      <w:pPr>
        <w:numPr>
          <w:ilvl w:val="0"/>
          <w:numId w:val="21"/>
        </w:numPr>
      </w:pPr>
      <w:r w:rsidRPr="00EF520C">
        <w:t xml:space="preserve">No direct commands are sent to distribution hardware, satisfying the safety-first constraint. </w:t>
      </w:r>
    </w:p>
    <w:p w14:paraId="0F04F415" w14:textId="77777777" w:rsidR="00CE145C" w:rsidRDefault="00CE145C" w:rsidP="00CE145C">
      <w:pPr>
        <w:keepNext/>
      </w:pPr>
      <w:r w:rsidRPr="00CE145C">
        <w:lastRenderedPageBreak/>
        <w:drawing>
          <wp:inline distT="0" distB="0" distL="0" distR="0" wp14:anchorId="1B4A5165" wp14:editId="201C10B1">
            <wp:extent cx="5731510" cy="2692400"/>
            <wp:effectExtent l="0" t="0" r="2540" b="0"/>
            <wp:docPr id="35927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73558" name=""/>
                    <pic:cNvPicPr/>
                  </pic:nvPicPr>
                  <pic:blipFill rotWithShape="1">
                    <a:blip r:embed="rId8"/>
                    <a:srcRect t="7307" b="6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65775" w14:textId="77777777" w:rsidR="007047B7" w:rsidRPr="00EF520C" w:rsidRDefault="007047B7" w:rsidP="00CE145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Pr="0007354F">
        <w:t>Non-Invasive Sidecar Architecture: A dashed isolation layer separates the Apache Kafka data stream and Lagrangian optimizer from BESCOM's grid control systems.</w:t>
      </w:r>
    </w:p>
    <w:p w14:paraId="45787497" w14:textId="6812DFE5" w:rsidR="00CB4181" w:rsidRDefault="00CB4181">
      <w:pPr>
        <w:pStyle w:val="Heading1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6. Implementation Roadmap</w:t>
      </w:r>
    </w:p>
    <w:p w14:paraId="5EA18BC3" w14:textId="162FF312" w:rsidR="00CB4181" w:rsidRDefault="00EF520C">
      <w:r w:rsidRPr="00EF520C">
        <w:t>We move from a "</w:t>
      </w:r>
      <w:r w:rsidR="00CE145C" w:rsidRPr="00EF520C">
        <w:t>Codebase</w:t>
      </w:r>
      <w:r w:rsidRPr="00EF520C">
        <w:t xml:space="preserve">" to a "City-scale" solution through a staged rollout.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2022"/>
        <w:gridCol w:w="5255"/>
      </w:tblGrid>
      <w:tr w:rsidR="00EF520C" w:rsidRPr="00EF520C" w14:paraId="2B7D0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6DF72E" w14:textId="77777777" w:rsidR="00EF520C" w:rsidRPr="00EF520C" w:rsidRDefault="00EF520C" w:rsidP="007047B7">
            <w:pPr>
              <w:spacing w:after="0"/>
              <w:jc w:val="center"/>
            </w:pPr>
            <w:r w:rsidRPr="00EF520C">
              <w:rPr>
                <w:b/>
                <w:bCs/>
              </w:rPr>
              <w:t>Phase 1: 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B0877C" w14:textId="13C658DD" w:rsidR="00EF520C" w:rsidRPr="00EF520C" w:rsidRDefault="00EF520C" w:rsidP="007047B7">
            <w:pPr>
              <w:spacing w:after="0"/>
              <w:jc w:val="center"/>
            </w:pPr>
            <w:r w:rsidRPr="00EF520C">
              <w:t>Graph &amp;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4A8FD7" w14:textId="3B4BE184" w:rsidR="00EF520C" w:rsidRPr="00EF520C" w:rsidRDefault="00EF520C" w:rsidP="007047B7">
            <w:pPr>
              <w:spacing w:after="0"/>
              <w:jc w:val="center"/>
            </w:pPr>
            <w:r w:rsidRPr="00EF520C">
              <w:t>Finalize the mathematical "Shadow Pricing" for load shifting.</w:t>
            </w:r>
          </w:p>
        </w:tc>
      </w:tr>
      <w:tr w:rsidR="00EF520C" w:rsidRPr="00EF520C" w14:paraId="5028F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3F0911" w14:textId="77777777" w:rsidR="00EF520C" w:rsidRPr="00EF520C" w:rsidRDefault="00EF520C" w:rsidP="007047B7">
            <w:pPr>
              <w:spacing w:after="0"/>
              <w:jc w:val="center"/>
            </w:pPr>
            <w:r w:rsidRPr="00EF520C">
              <w:rPr>
                <w:b/>
                <w:bCs/>
              </w:rPr>
              <w:t>Phase 2: Prototype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4BC071" w14:textId="69174683" w:rsidR="00EF520C" w:rsidRPr="00CE145C" w:rsidRDefault="00EF520C" w:rsidP="007047B7">
            <w:pPr>
              <w:spacing w:after="0"/>
              <w:jc w:val="center"/>
            </w:pPr>
            <w:r w:rsidRPr="00CE145C">
              <w:t>Digital Twin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22A536" w14:textId="3CF90D52" w:rsidR="00EF520C" w:rsidRPr="00EF520C" w:rsidRDefault="00EF520C" w:rsidP="007047B7">
            <w:pPr>
              <w:spacing w:after="0"/>
              <w:jc w:val="center"/>
            </w:pPr>
            <w:r w:rsidRPr="00EF520C">
              <w:t xml:space="preserve">Launch a single-ward (e.g., Whitefield) twin using </w:t>
            </w:r>
            <w:r w:rsidRPr="00EF520C">
              <w:rPr>
                <w:b/>
                <w:bCs/>
              </w:rPr>
              <w:t>Shadow Mode</w:t>
            </w:r>
            <w:r w:rsidRPr="00EF520C">
              <w:t xml:space="preserve"> to stress-test the optimizer.</w:t>
            </w:r>
          </w:p>
        </w:tc>
      </w:tr>
      <w:tr w:rsidR="00EF520C" w:rsidRPr="00EF520C" w14:paraId="7A73C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19966E" w14:textId="77777777" w:rsidR="00EF520C" w:rsidRPr="00EF520C" w:rsidRDefault="00EF520C" w:rsidP="007047B7">
            <w:pPr>
              <w:spacing w:after="0"/>
              <w:jc w:val="center"/>
            </w:pPr>
            <w:r w:rsidRPr="00EF520C">
              <w:rPr>
                <w:b/>
                <w:bCs/>
              </w:rPr>
              <w:t>Phase 3: 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ACDE97" w14:textId="3980D4B0" w:rsidR="00EF520C" w:rsidRPr="00CE145C" w:rsidRDefault="00EF520C" w:rsidP="007047B7">
            <w:pPr>
              <w:spacing w:after="0"/>
              <w:jc w:val="center"/>
            </w:pPr>
            <w:r w:rsidRPr="00CE145C">
              <w:t xml:space="preserve">Planner Command </w:t>
            </w:r>
            <w:proofErr w:type="spellStart"/>
            <w:r w:rsidRPr="00CE145C">
              <w:t>Center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E41E85" w14:textId="1E6C2BDF" w:rsidR="00EF520C" w:rsidRPr="00EF520C" w:rsidRDefault="00EF520C" w:rsidP="007047B7">
            <w:pPr>
              <w:spacing w:after="0"/>
              <w:jc w:val="center"/>
            </w:pPr>
            <w:r w:rsidRPr="00EF520C">
              <w:t>Full-scale deployment of the dashboard for BESCOM planners to identify 2027 infrastructure needs.</w:t>
            </w:r>
          </w:p>
        </w:tc>
      </w:tr>
    </w:tbl>
    <w:p w14:paraId="1988E21B" w14:textId="77777777" w:rsidR="007047B7" w:rsidRDefault="007047B7" w:rsidP="00CE145C">
      <w:pPr>
        <w:pStyle w:val="Heading1"/>
      </w:pPr>
      <w:r w:rsidRPr="00CE145C">
        <w:rPr>
          <w:rFonts w:asciiTheme="minorHAnsi" w:hAnsiTheme="minorHAnsi" w:cstheme="minorBidi"/>
          <w:sz w:val="24"/>
          <w:szCs w:val="24"/>
        </w:rPr>
        <w:lastRenderedPageBreak/>
        <w:drawing>
          <wp:inline distT="0" distB="0" distL="0" distR="0" wp14:anchorId="29D70948" wp14:editId="398BE360">
            <wp:extent cx="5655310" cy="2855595"/>
            <wp:effectExtent l="0" t="0" r="2540" b="1905"/>
            <wp:docPr id="63447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60878" name=""/>
                    <pic:cNvPicPr/>
                  </pic:nvPicPr>
                  <pic:blipFill rotWithShape="1">
                    <a:blip r:embed="rId9"/>
                    <a:srcRect l="1330" t="8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10" cy="285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6F3E3" w14:textId="77777777" w:rsidR="007047B7" w:rsidRPr="00CE145C" w:rsidRDefault="007047B7" w:rsidP="00CE145C">
      <w:pPr>
        <w:pStyle w:val="Caption"/>
        <w:rPr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Pr="00AF16C3">
        <w:t xml:space="preserve">The Strategic Planner Dashboard: A GIS-scale command </w:t>
      </w:r>
      <w:proofErr w:type="spellStart"/>
      <w:r w:rsidRPr="00AF16C3">
        <w:t>center</w:t>
      </w:r>
      <w:proofErr w:type="spellEnd"/>
      <w:r w:rsidRPr="00AF16C3">
        <w:t xml:space="preserve"> visualizing optimized siting recommendations, highlighting high Feeder Headroom (green) and Siting Risk (red).</w:t>
      </w:r>
    </w:p>
    <w:p w14:paraId="4037BC2E" w14:textId="42E32A98" w:rsidR="00CB4181" w:rsidRDefault="00CB4181">
      <w:pPr>
        <w:pStyle w:val="Heading1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7. Evaluation &amp; Baselines</w:t>
      </w:r>
    </w:p>
    <w:p w14:paraId="2F40B925" w14:textId="77777777" w:rsidR="00EF520C" w:rsidRPr="00EF520C" w:rsidRDefault="00EF520C" w:rsidP="00EF520C">
      <w:r w:rsidRPr="00EF520C">
        <w:t xml:space="preserve">Success is measured by the Delta against unmanaged systems: </w:t>
      </w:r>
    </w:p>
    <w:p w14:paraId="610B8214" w14:textId="207411D0" w:rsidR="00EF520C" w:rsidRPr="00EF520C" w:rsidRDefault="00EF520C" w:rsidP="00EF520C">
      <w:pPr>
        <w:numPr>
          <w:ilvl w:val="0"/>
          <w:numId w:val="22"/>
        </w:numPr>
      </w:pPr>
      <w:r w:rsidRPr="00EF520C">
        <w:t xml:space="preserve">Targeted </w:t>
      </w:r>
      <w:r w:rsidRPr="00EF520C">
        <w:rPr>
          <w:b/>
          <w:bCs/>
        </w:rPr>
        <w:t>15-20% reduction</w:t>
      </w:r>
      <w:r w:rsidRPr="00EF520C">
        <w:t xml:space="preserve"> in predicted transformer overload events. </w:t>
      </w:r>
    </w:p>
    <w:p w14:paraId="118A179A" w14:textId="1FDC1987" w:rsidR="00EF520C" w:rsidRPr="00EF520C" w:rsidRDefault="00EF520C" w:rsidP="00EF520C">
      <w:pPr>
        <w:numPr>
          <w:ilvl w:val="0"/>
          <w:numId w:val="22"/>
        </w:numPr>
      </w:pPr>
      <w:r w:rsidRPr="00EF520C">
        <w:t xml:space="preserve">Lower </w:t>
      </w:r>
      <w:r w:rsidRPr="00EF520C">
        <w:rPr>
          <w:b/>
          <w:bCs/>
        </w:rPr>
        <w:t>Peak-to-Average Ratio (PAR)</w:t>
      </w:r>
      <w:r w:rsidRPr="00EF520C">
        <w:t xml:space="preserve">, reducing the need for expensive "peaker-plant" power procurement. </w:t>
      </w:r>
    </w:p>
    <w:p w14:paraId="79B83CB8" w14:textId="59CC1606" w:rsidR="00EF520C" w:rsidRPr="00EF520C" w:rsidRDefault="00EF520C" w:rsidP="00EF520C">
      <w:pPr>
        <w:numPr>
          <w:ilvl w:val="0"/>
          <w:numId w:val="22"/>
        </w:numPr>
      </w:pPr>
      <w:r w:rsidRPr="00EF520C">
        <w:t xml:space="preserve">Improvement in charger utilization rates compared to </w:t>
      </w:r>
      <w:r w:rsidRPr="00EF520C">
        <w:rPr>
          <w:b/>
          <w:bCs/>
        </w:rPr>
        <w:t>Uniform Placement</w:t>
      </w:r>
      <w:r w:rsidRPr="00EF520C">
        <w:t xml:space="preserve"> strategies. </w:t>
      </w:r>
    </w:p>
    <w:p w14:paraId="469EBA02" w14:textId="77777777" w:rsidR="007047B7" w:rsidRDefault="007047B7">
      <w:pPr>
        <w:pStyle w:val="Heading1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 xml:space="preserve">8. Conclusion </w:t>
      </w:r>
    </w:p>
    <w:p w14:paraId="2C400005" w14:textId="07FD023A" w:rsidR="00594D92" w:rsidRPr="00EF520C" w:rsidRDefault="00EF520C" w:rsidP="00EF520C">
      <w:r w:rsidRPr="00EF520C">
        <w:rPr>
          <w:b/>
          <w:bCs/>
        </w:rPr>
        <w:t>Vidyut Prajna</w:t>
      </w:r>
      <w:r w:rsidRPr="00EF520C">
        <w:t xml:space="preserve"> treats EV charging as a strategic planning problem, not just a technical feature. By providing an explainable, non-invasive intelligence layer, we empower BESCOM to lead the national transition to green mobility without compromising the reliability of the city's power grid.</w:t>
      </w:r>
    </w:p>
    <w:sectPr w:rsidR="00594D92" w:rsidRPr="00EF5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E11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5797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347FF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260F4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62791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5074F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91580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439E0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C562B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C53B9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5077E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314B1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4679D"/>
    <w:multiLevelType w:val="multilevel"/>
    <w:tmpl w:val="8042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D17EB8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D4174"/>
    <w:multiLevelType w:val="multilevel"/>
    <w:tmpl w:val="6072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1B6B83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D7017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72C5D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B61D0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91BDF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500E92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F0440"/>
    <w:multiLevelType w:val="multilevel"/>
    <w:tmpl w:val="686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506550">
    <w:abstractNumId w:val="15"/>
  </w:num>
  <w:num w:numId="2" w16cid:durableId="935866732">
    <w:abstractNumId w:val="9"/>
  </w:num>
  <w:num w:numId="3" w16cid:durableId="2062899021">
    <w:abstractNumId w:val="6"/>
  </w:num>
  <w:num w:numId="4" w16cid:durableId="438766696">
    <w:abstractNumId w:val="14"/>
  </w:num>
  <w:num w:numId="5" w16cid:durableId="958610672">
    <w:abstractNumId w:val="3"/>
  </w:num>
  <w:num w:numId="6" w16cid:durableId="2060593423">
    <w:abstractNumId w:val="11"/>
  </w:num>
  <w:num w:numId="7" w16cid:durableId="1314215683">
    <w:abstractNumId w:val="12"/>
  </w:num>
  <w:num w:numId="8" w16cid:durableId="1940137067">
    <w:abstractNumId w:val="19"/>
  </w:num>
  <w:num w:numId="9" w16cid:durableId="304236199">
    <w:abstractNumId w:val="10"/>
  </w:num>
  <w:num w:numId="10" w16cid:durableId="1791245432">
    <w:abstractNumId w:val="16"/>
  </w:num>
  <w:num w:numId="11" w16cid:durableId="98913594">
    <w:abstractNumId w:val="1"/>
  </w:num>
  <w:num w:numId="12" w16cid:durableId="2140568674">
    <w:abstractNumId w:val="7"/>
  </w:num>
  <w:num w:numId="13" w16cid:durableId="504520157">
    <w:abstractNumId w:val="20"/>
  </w:num>
  <w:num w:numId="14" w16cid:durableId="928738605">
    <w:abstractNumId w:val="21"/>
  </w:num>
  <w:num w:numId="15" w16cid:durableId="693728901">
    <w:abstractNumId w:val="17"/>
  </w:num>
  <w:num w:numId="16" w16cid:durableId="19937122">
    <w:abstractNumId w:val="5"/>
  </w:num>
  <w:num w:numId="17" w16cid:durableId="882593810">
    <w:abstractNumId w:val="18"/>
  </w:num>
  <w:num w:numId="18" w16cid:durableId="812677448">
    <w:abstractNumId w:val="4"/>
  </w:num>
  <w:num w:numId="19" w16cid:durableId="1077482501">
    <w:abstractNumId w:val="2"/>
  </w:num>
  <w:num w:numId="20" w16cid:durableId="1777552624">
    <w:abstractNumId w:val="8"/>
  </w:num>
  <w:num w:numId="21" w16cid:durableId="795175916">
    <w:abstractNumId w:val="13"/>
  </w:num>
  <w:num w:numId="22" w16cid:durableId="152555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92"/>
    <w:rsid w:val="00335E8C"/>
    <w:rsid w:val="00594D92"/>
    <w:rsid w:val="007047B7"/>
    <w:rsid w:val="0082260B"/>
    <w:rsid w:val="008414A3"/>
    <w:rsid w:val="00CB4181"/>
    <w:rsid w:val="00CE145C"/>
    <w:rsid w:val="00D46C6C"/>
    <w:rsid w:val="00EF520C"/>
    <w:rsid w:val="00F6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2BBB"/>
  <w15:chartTrackingRefBased/>
  <w15:docId w15:val="{9903164A-91DF-4E4D-B96A-CABD40C7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D9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B4181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E145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B8279-18C3-4F29-AE5B-625414063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676</Words>
  <Characters>4302</Characters>
  <Application>Microsoft Office Word</Application>
  <DocSecurity>0</DocSecurity>
  <Lines>110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Farooq</dc:creator>
  <cp:keywords/>
  <dc:description/>
  <cp:lastModifiedBy>Adil Farooq</cp:lastModifiedBy>
  <cp:revision>1</cp:revision>
  <cp:lastPrinted>2026-04-29T16:33:00Z</cp:lastPrinted>
  <dcterms:created xsi:type="dcterms:W3CDTF">2026-04-29T15:19:00Z</dcterms:created>
  <dcterms:modified xsi:type="dcterms:W3CDTF">2026-04-29T16:46:00Z</dcterms:modified>
</cp:coreProperties>
</file>