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Scout Report — Phase 20 Completion &amp; Verification</w:t>
      </w:r>
    </w:p>
    <w:p>
      <w:r>
        <w:t>Source Inventory → Field Mapping → Approval → Executable Contract</w:t>
      </w:r>
    </w:p>
    <w:p>
      <w:r>
        <w:t>Date: 11 August 2026</w:t>
      </w:r>
    </w:p>
    <w:p>
      <w:pPr>
        <w:pStyle w:val="Heading1"/>
      </w:pPr>
      <w:r>
        <w:t>Executive result</w:t>
      </w:r>
    </w:p>
    <w:p>
      <w:r>
        <w:t>Phase 20 is complete. The project now has a versioned canonical data dictionary, source inventory, mapping matrix, adapter registry, executable adapter detection, normalization/validation tests, and an explicit approval record for Phase 21.</w:t>
      </w:r>
    </w:p>
    <w:p>
      <w:pPr>
        <w:pStyle w:val="Heading1"/>
      </w:pPr>
      <w:r>
        <w:t>Verification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20 — Source Inventory &amp; Canonical Data Contract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 — approved for Phase 21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11 August 2026</w:t>
            </w:r>
          </w:p>
        </w:tc>
      </w:tr>
      <w:tr>
        <w:tc>
          <w:tcPr>
            <w:tcW w:type="dxa" w:w="4320"/>
          </w:tcPr>
          <w:p>
            <w:r>
              <w:t>Canonical fields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Source adapters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Baseline required fields</w:t>
            </w:r>
          </w:p>
        </w:tc>
        <w:tc>
          <w:tcPr>
            <w:tcW w:type="dxa" w:w="4320"/>
          </w:tcPr>
          <w:p>
            <w:r>
              <w:t>farmId, farmName, cropType, reportDate</w:t>
            </w:r>
          </w:p>
        </w:tc>
      </w:tr>
      <w:tr>
        <w:tc>
          <w:tcPr>
            <w:tcW w:type="dxa" w:w="4320"/>
          </w:tcPr>
          <w:p>
            <w:r>
              <w:t>Fixture detection</w:t>
            </w:r>
          </w:p>
        </w:tc>
        <w:tc>
          <w:tcPr>
            <w:tcW w:type="dxa" w:w="4320"/>
          </w:tcPr>
          <w:p>
            <w:r>
              <w:t>3/3 PASS</w:t>
            </w:r>
          </w:p>
        </w:tc>
      </w:tr>
      <w:tr>
        <w:tc>
          <w:tcPr>
            <w:tcW w:type="dxa" w:w="4320"/>
          </w:tcPr>
          <w:p>
            <w:r>
              <w:t>Phase 20 unit tests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XLSX utility regression</w:t>
            </w:r>
          </w:p>
        </w:tc>
        <w:tc>
          <w:tcPr>
            <w:tcW w:type="dxa" w:w="4320"/>
          </w:tcPr>
          <w:p>
            <w:r>
              <w:t>1/1 PASS</w:t>
            </w:r>
          </w:p>
        </w:tc>
      </w:tr>
      <w:tr>
        <w:tc>
          <w:tcPr>
            <w:tcW w:type="dxa" w:w="4320"/>
          </w:tcPr>
          <w:p>
            <w:r>
              <w:t>Full npm test</w:t>
            </w:r>
          </w:p>
        </w:tc>
        <w:tc>
          <w:tcPr>
            <w:tcW w:type="dxa" w:w="4320"/>
          </w:tcPr>
          <w:p>
            <w:r>
              <w:t>Environment blocked: dependencies absent in isolated artifact</w:t>
            </w:r>
          </w:p>
        </w:tc>
      </w:tr>
    </w:tbl>
    <w:p>
      <w:pPr>
        <w:pStyle w:val="Heading1"/>
      </w:pPr>
      <w:r>
        <w:t>Data domains approved</w:t>
      </w:r>
    </w:p>
    <w:p>
      <w:pPr>
        <w:pStyle w:val="ListBullet"/>
      </w:pPr>
      <w:r>
        <w:t>Identity and visit</w:t>
      </w:r>
    </w:p>
    <w:p>
      <w:pPr>
        <w:pStyle w:val="ListBullet"/>
      </w:pPr>
      <w:r>
        <w:t>Location and mapping</w:t>
      </w:r>
    </w:p>
    <w:p>
      <w:pPr>
        <w:pStyle w:val="ListBullet"/>
      </w:pPr>
      <w:r>
        <w:t>Crop and phenology</w:t>
      </w:r>
    </w:p>
    <w:p>
      <w:pPr>
        <w:pStyle w:val="ListBullet"/>
      </w:pPr>
      <w:r>
        <w:t>Weather and microclimate</w:t>
      </w:r>
    </w:p>
    <w:p>
      <w:pPr>
        <w:pStyle w:val="ListBullet"/>
      </w:pPr>
      <w:r>
        <w:t>Soil and water</w:t>
      </w:r>
    </w:p>
    <w:p>
      <w:pPr>
        <w:pStyle w:val="ListBullet"/>
      </w:pPr>
      <w:r>
        <w:t>Crop health</w:t>
      </w:r>
    </w:p>
    <w:p>
      <w:pPr>
        <w:pStyle w:val="ListBullet"/>
      </w:pPr>
      <w:r>
        <w:t>Weeds</w:t>
      </w:r>
    </w:p>
    <w:p>
      <w:pPr>
        <w:pStyle w:val="ListBullet"/>
      </w:pPr>
      <w:r>
        <w:t>Pests and beneficial organisms</w:t>
      </w:r>
    </w:p>
    <w:p>
      <w:pPr>
        <w:pStyle w:val="ListBullet"/>
      </w:pPr>
      <w:r>
        <w:t>Diseases and symptoms</w:t>
      </w:r>
    </w:p>
    <w:p>
      <w:pPr>
        <w:pStyle w:val="ListBullet"/>
      </w:pPr>
      <w:r>
        <w:t>Management and recommendations</w:t>
      </w:r>
    </w:p>
    <w:p>
      <w:pPr>
        <w:pStyle w:val="ListBullet"/>
      </w:pPr>
      <w:r>
        <w:t>Evidence/media</w:t>
      </w:r>
    </w:p>
    <w:p>
      <w:pPr>
        <w:pStyle w:val="ListBullet"/>
      </w:pPr>
      <w:r>
        <w:t>Samples and diagnostics</w:t>
      </w:r>
    </w:p>
    <w:p>
      <w:pPr>
        <w:pStyle w:val="ListBullet"/>
      </w:pPr>
      <w:r>
        <w:t>Import provenance</w:t>
      </w:r>
    </w:p>
    <w:p>
      <w:pPr>
        <w:pStyle w:val="ListBullet"/>
      </w:pPr>
      <w:r>
        <w:t>Verification/governance</w:t>
      </w:r>
    </w:p>
    <w:p>
      <w:pPr>
        <w:pStyle w:val="Heading1"/>
      </w:pPr>
      <w:r>
        <w:t>Source structures captured</w:t>
      </w:r>
    </w:p>
    <w:p>
      <w:r>
        <w:t>The supplied project package contains four concrete fixture structures plus a generic legacy adapter: current flat Scout Report, repeated survey-stop scouting, digital crop scouting, Kenya-oriented IPM/surveillance, and arbitrary wide legacy spreadsheets.</w:t>
      </w:r>
    </w:p>
    <w:p>
      <w:pPr>
        <w:pStyle w:val="Heading1"/>
      </w:pPr>
      <w:r>
        <w:t>Important implementation boundary</w:t>
      </w:r>
    </w:p>
    <w:p>
      <w:r>
        <w:t>Phase 20 intentionally does not modify the PostgreSQL schema. The approved contract is the input to Phase 21 migration work. Existing workflow roles and verification gates remain unchanged.</w:t>
      </w:r>
    </w:p>
    <w:p>
      <w:pPr>
        <w:pStyle w:val="Heading1"/>
      </w:pPr>
      <w:r>
        <w:t>Phase 21 entry criteria</w:t>
      </w:r>
    </w:p>
    <w:p>
      <w:pPr>
        <w:pStyle w:val="ListBullet"/>
      </w:pPr>
      <w:r>
        <w:t>Confirm source units for height, spacing, area and treatment rates.</w:t>
      </w:r>
    </w:p>
    <w:p>
      <w:pPr>
        <w:pStyle w:val="ListBullet"/>
      </w:pPr>
      <w:r>
        <w:t>Approve controlled vocabularies for crop stage, severity, pressure and health.</w:t>
      </w:r>
    </w:p>
    <w:p>
      <w:pPr>
        <w:pStyle w:val="ListBullet"/>
      </w:pPr>
      <w:r>
        <w:t>Confirm field/block/plot identity policy.</w:t>
      </w:r>
    </w:p>
    <w:p>
      <w:pPr>
        <w:pStyle w:val="ListBullet"/>
      </w:pPr>
      <w:r>
        <w:t>Confirm media retention/storage policy.</w:t>
      </w:r>
    </w:p>
    <w:p>
      <w:pPr>
        <w:pStyle w:val="ListBullet"/>
      </w:pPr>
      <w:r>
        <w:t>Confirm which management fields are mandatory by crop/organisation.</w:t>
      </w:r>
    </w:p>
    <w:p>
      <w:pPr>
        <w:pStyle w:val="Heading1"/>
      </w:pPr>
      <w:r>
        <w:t>Operator commands</w:t>
      </w:r>
    </w:p>
    <w:p>
      <w:r>
        <w:t>npm ci</w:t>
        <w:br/>
        <w:t>npm run verify:phase20</w:t>
        <w:br/>
        <w:t>npm test</w:t>
      </w:r>
    </w:p>
    <w:p>
      <w:r>
        <w:t>The full application regression suite is not claimed as freshly executed in this isolated artifact because node_modules is intentionally excluded and dependency installation was unavailable in this execution environment. The supplied baseline evidence reported 66 passing and 0 failing tests; that historical result is retained as evidence, not re-labelled as a fresh Phase 20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