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AAFA" w14:textId="77777777" w:rsidR="00957C66" w:rsidRPr="00957C66" w:rsidRDefault="00957C66">
      <w:pPr>
        <w:rPr>
          <w:b/>
          <w:u w:val="single"/>
        </w:rPr>
      </w:pPr>
      <w:r w:rsidRPr="00957C66">
        <w:rPr>
          <w:b/>
          <w:u w:val="single"/>
        </w:rPr>
        <w:t>DJM University</w:t>
      </w:r>
    </w:p>
    <w:p w14:paraId="3C371788" w14:textId="77777777" w:rsidR="00957C66" w:rsidRDefault="00957C66"/>
    <w:p w14:paraId="288E86A9" w14:textId="77777777" w:rsidR="00C21BC1" w:rsidRDefault="00C21BC1">
      <w:r>
        <w:t>DJM University has a $10 billion endowment</w:t>
      </w:r>
      <w:r w:rsidR="00957C66">
        <w:t xml:space="preserve"> with a sophisticated portfolio that includes a wide range of strategies.  Spending from the endowment averages 5% per year and </w:t>
      </w:r>
      <w:r>
        <w:t xml:space="preserve">supports 20% of the University’s operating budget.  </w:t>
      </w:r>
      <w:r w:rsidR="00F63C44">
        <w:t>Inflation is estimated to be 2.5% per year</w:t>
      </w:r>
      <w:r w:rsidR="00957C66">
        <w:t>.  Administrative costs related to managing the endowment are 0.5%</w:t>
      </w:r>
      <w:r w:rsidR="00F63C44">
        <w:t xml:space="preserve"> per year</w:t>
      </w:r>
      <w:r w:rsidR="00957C66">
        <w:t xml:space="preserve">.  Below </w:t>
      </w:r>
      <w:r w:rsidR="008540FD">
        <w:t xml:space="preserve">are </w:t>
      </w:r>
      <w:r w:rsidR="00957C66">
        <w:t>the endowment’</w:t>
      </w:r>
      <w:r w:rsidR="008540FD">
        <w:t>s asset allocation and return assumptions</w:t>
      </w:r>
      <w:r w:rsidR="00957C66">
        <w:t>:</w:t>
      </w:r>
    </w:p>
    <w:p w14:paraId="7ED0DB74" w14:textId="77777777" w:rsidR="00C21BC1" w:rsidRDefault="00C21BC1"/>
    <w:p w14:paraId="2D7FFE15" w14:textId="77777777" w:rsidR="006A73AD" w:rsidRDefault="003426F6">
      <w:r>
        <w:tab/>
      </w:r>
      <w:r>
        <w:tab/>
      </w:r>
      <w:r>
        <w:tab/>
      </w:r>
      <w:r w:rsidRPr="003426F6">
        <w:rPr>
          <w:u w:val="single"/>
        </w:rPr>
        <w:t xml:space="preserve">    Asset Allocation</w:t>
      </w:r>
      <w:r w:rsidRPr="003426F6">
        <w:rPr>
          <w:u w:val="single"/>
        </w:rPr>
        <w:tab/>
      </w:r>
      <w:r>
        <w:tab/>
      </w:r>
      <w:r w:rsidRPr="003426F6">
        <w:rPr>
          <w:u w:val="single"/>
        </w:rPr>
        <w:tab/>
        <w:t>Returns</w:t>
      </w:r>
      <w:r w:rsidRPr="003426F6">
        <w:rPr>
          <w:u w:val="single"/>
        </w:rPr>
        <w:tab/>
      </w:r>
    </w:p>
    <w:p w14:paraId="224338BB" w14:textId="77777777" w:rsidR="003426F6" w:rsidRDefault="003426F6">
      <w:r>
        <w:tab/>
      </w:r>
      <w:r>
        <w:tab/>
      </w:r>
      <w:r>
        <w:tab/>
      </w:r>
      <w:r w:rsidRPr="003426F6">
        <w:rPr>
          <w:u w:val="single"/>
        </w:rPr>
        <w:t>Policy</w:t>
      </w:r>
      <w:r>
        <w:tab/>
      </w:r>
      <w:r>
        <w:tab/>
      </w:r>
      <w:r w:rsidRPr="003426F6">
        <w:rPr>
          <w:u w:val="single"/>
        </w:rPr>
        <w:t>Actual</w:t>
      </w:r>
      <w:r>
        <w:tab/>
      </w:r>
      <w:r>
        <w:tab/>
      </w:r>
      <w:r w:rsidRPr="003426F6">
        <w:rPr>
          <w:u w:val="single"/>
        </w:rPr>
        <w:t>Expected</w:t>
      </w:r>
      <w:r>
        <w:tab/>
      </w:r>
      <w:r w:rsidRPr="003426F6">
        <w:rPr>
          <w:u w:val="single"/>
        </w:rPr>
        <w:t>Actual</w:t>
      </w:r>
    </w:p>
    <w:p w14:paraId="07E43441" w14:textId="77777777" w:rsidR="003426F6" w:rsidRDefault="003426F6">
      <w:r>
        <w:t>Domestic Equity</w:t>
      </w:r>
      <w:r>
        <w:tab/>
        <w:t xml:space="preserve">  15%</w:t>
      </w:r>
      <w:r>
        <w:tab/>
      </w:r>
      <w:r>
        <w:tab/>
        <w:t xml:space="preserve">  25%</w:t>
      </w:r>
      <w:r>
        <w:tab/>
      </w:r>
      <w:r>
        <w:tab/>
        <w:t xml:space="preserve">     </w:t>
      </w:r>
      <w:r w:rsidR="00C21BC1">
        <w:t>8</w:t>
      </w:r>
      <w:r>
        <w:t>%</w:t>
      </w:r>
      <w:r>
        <w:tab/>
      </w:r>
      <w:r>
        <w:tab/>
        <w:t xml:space="preserve">  35%</w:t>
      </w:r>
    </w:p>
    <w:p w14:paraId="58B55EAE" w14:textId="77777777" w:rsidR="003426F6" w:rsidRDefault="003426F6">
      <w:r>
        <w:t>International Equity</w:t>
      </w:r>
      <w:r>
        <w:tab/>
        <w:t xml:space="preserve">  10%</w:t>
      </w:r>
      <w:r>
        <w:tab/>
      </w:r>
      <w:r>
        <w:tab/>
        <w:t xml:space="preserve">  10%</w:t>
      </w:r>
      <w:r>
        <w:tab/>
      </w:r>
      <w:r>
        <w:tab/>
        <w:t xml:space="preserve">     </w:t>
      </w:r>
      <w:r w:rsidR="00C21BC1">
        <w:t>9</w:t>
      </w:r>
      <w:r>
        <w:t>%</w:t>
      </w:r>
      <w:r>
        <w:tab/>
      </w:r>
      <w:r>
        <w:tab/>
        <w:t xml:space="preserve">  30%</w:t>
      </w:r>
    </w:p>
    <w:p w14:paraId="40FE1479" w14:textId="77777777" w:rsidR="003426F6" w:rsidRDefault="003426F6">
      <w:r>
        <w:t>Fixed Income</w:t>
      </w:r>
      <w:r>
        <w:tab/>
      </w:r>
      <w:r>
        <w:tab/>
        <w:t xml:space="preserve">  10%</w:t>
      </w:r>
      <w:r>
        <w:tab/>
      </w:r>
      <w:r>
        <w:tab/>
        <w:t xml:space="preserve">  15%</w:t>
      </w:r>
      <w:r>
        <w:tab/>
      </w:r>
      <w:r>
        <w:tab/>
        <w:t xml:space="preserve">     </w:t>
      </w:r>
      <w:r w:rsidR="00C21BC1">
        <w:t>6</w:t>
      </w:r>
      <w:r>
        <w:t>%</w:t>
      </w:r>
      <w:r>
        <w:tab/>
      </w:r>
      <w:r>
        <w:tab/>
        <w:t xml:space="preserve">    5%</w:t>
      </w:r>
    </w:p>
    <w:p w14:paraId="6E6448EF" w14:textId="77777777" w:rsidR="003426F6" w:rsidRDefault="003426F6">
      <w:r>
        <w:t>Hedge Funds</w:t>
      </w:r>
      <w:r>
        <w:tab/>
      </w:r>
      <w:r>
        <w:tab/>
        <w:t xml:space="preserve">  40%</w:t>
      </w:r>
      <w:r>
        <w:tab/>
      </w:r>
      <w:r>
        <w:tab/>
        <w:t xml:space="preserve">  30%</w:t>
      </w:r>
      <w:r>
        <w:tab/>
      </w:r>
      <w:r>
        <w:tab/>
        <w:t xml:space="preserve">     </w:t>
      </w:r>
      <w:r w:rsidR="00C21BC1">
        <w:t>8</w:t>
      </w:r>
      <w:r>
        <w:t>%</w:t>
      </w:r>
      <w:r>
        <w:tab/>
      </w:r>
      <w:r>
        <w:tab/>
        <w:t xml:space="preserve">  15%</w:t>
      </w:r>
    </w:p>
    <w:p w14:paraId="184EF702" w14:textId="77777777" w:rsidR="003426F6" w:rsidRDefault="003426F6">
      <w:r>
        <w:t>Private Capital</w:t>
      </w:r>
      <w:r>
        <w:tab/>
      </w:r>
      <w:r>
        <w:tab/>
        <w:t xml:space="preserve">  25%</w:t>
      </w:r>
      <w:r>
        <w:tab/>
      </w:r>
      <w:r>
        <w:tab/>
        <w:t xml:space="preserve">  20%</w:t>
      </w:r>
      <w:r>
        <w:tab/>
      </w:r>
      <w:r>
        <w:tab/>
        <w:t xml:space="preserve">   10%</w:t>
      </w:r>
      <w:r>
        <w:tab/>
      </w:r>
      <w:r>
        <w:tab/>
        <w:t xml:space="preserve">  25%</w:t>
      </w:r>
    </w:p>
    <w:p w14:paraId="2866B6B5" w14:textId="77777777" w:rsidR="003426F6" w:rsidRDefault="003426F6"/>
    <w:p w14:paraId="077C1353" w14:textId="77777777" w:rsidR="003426F6" w:rsidRPr="003426F6" w:rsidRDefault="00C21BC1">
      <w:pPr>
        <w:rPr>
          <w:b/>
        </w:rPr>
      </w:pPr>
      <w:r>
        <w:rPr>
          <w:b/>
        </w:rPr>
        <w:t xml:space="preserve">Calculate </w:t>
      </w:r>
      <w:r w:rsidR="003426F6" w:rsidRPr="003426F6">
        <w:rPr>
          <w:b/>
        </w:rPr>
        <w:t>the target return</w:t>
      </w:r>
      <w:r>
        <w:rPr>
          <w:b/>
        </w:rPr>
        <w:t xml:space="preserve">.  Would this return be sufficient </w:t>
      </w:r>
      <w:r w:rsidR="00957C66">
        <w:rPr>
          <w:b/>
        </w:rPr>
        <w:t xml:space="preserve">for </w:t>
      </w:r>
      <w:r w:rsidR="008540FD">
        <w:rPr>
          <w:b/>
        </w:rPr>
        <w:t>DJM’s endowment</w:t>
      </w:r>
      <w:r w:rsidR="00957C66">
        <w:rPr>
          <w:b/>
        </w:rPr>
        <w:t xml:space="preserve"> to preserve purchasing power</w:t>
      </w:r>
      <w:r>
        <w:rPr>
          <w:b/>
        </w:rPr>
        <w:t>?</w:t>
      </w:r>
    </w:p>
    <w:p w14:paraId="3DFE1B43" w14:textId="7F3DFB6F" w:rsidR="003426F6" w:rsidRDefault="00974D8A">
      <w:r>
        <w:t>.15 x .08 = 1.2 | .10 x .09 = .9 | .10 x .06 = .6 | .4 x .08 = 3.2 | .25 x .1 = 2.5</w:t>
      </w:r>
    </w:p>
    <w:p w14:paraId="7278C844" w14:textId="77777777" w:rsidR="00974D8A" w:rsidRDefault="00974D8A"/>
    <w:p w14:paraId="5868B773" w14:textId="7C5F637E" w:rsidR="005C35ED" w:rsidRPr="00974D8A" w:rsidRDefault="00974D8A">
      <w:r>
        <w:t xml:space="preserve">.15+.9+.6+3.2+2.5 = </w:t>
      </w:r>
      <w:r w:rsidRPr="00974D8A">
        <w:rPr>
          <w:highlight w:val="yellow"/>
        </w:rPr>
        <w:t>8.4% Target Return</w:t>
      </w:r>
    </w:p>
    <w:p w14:paraId="30CE7B5D" w14:textId="77777777" w:rsidR="00974D8A" w:rsidRDefault="00974D8A">
      <w:pPr>
        <w:rPr>
          <w:bCs/>
        </w:rPr>
      </w:pPr>
    </w:p>
    <w:p w14:paraId="75D3DABD" w14:textId="66532804" w:rsidR="00974D8A" w:rsidRPr="00974D8A" w:rsidRDefault="00974D8A">
      <w:pPr>
        <w:rPr>
          <w:bCs/>
        </w:rPr>
      </w:pPr>
      <w:r>
        <w:rPr>
          <w:bCs/>
        </w:rPr>
        <w:t>Yes, this return is sufficient for the endowment to preserve purchasing power.  With an 8.4% target and spending at 5%, admin costs at .5%, and inflation at 2.5% for a total of 8%.  This shows .4% surplus of 40 million dollars.  So purchasing power is preserved but the cushion is small.</w:t>
      </w:r>
    </w:p>
    <w:p w14:paraId="2C2669B9" w14:textId="77777777" w:rsidR="00974D8A" w:rsidRDefault="00974D8A">
      <w:pPr>
        <w:rPr>
          <w:b/>
        </w:rPr>
      </w:pPr>
    </w:p>
    <w:p w14:paraId="44529603" w14:textId="5B7B8190" w:rsidR="003426F6" w:rsidRPr="003426F6" w:rsidRDefault="00C21BC1">
      <w:pPr>
        <w:rPr>
          <w:b/>
        </w:rPr>
      </w:pPr>
      <w:r>
        <w:rPr>
          <w:b/>
        </w:rPr>
        <w:t xml:space="preserve">Calculate the </w:t>
      </w:r>
      <w:r w:rsidR="003426F6" w:rsidRPr="003426F6">
        <w:rPr>
          <w:b/>
        </w:rPr>
        <w:t>actual return</w:t>
      </w:r>
      <w:r w:rsidR="00957C66">
        <w:rPr>
          <w:b/>
        </w:rPr>
        <w:t>.</w:t>
      </w:r>
      <w:r>
        <w:rPr>
          <w:b/>
        </w:rPr>
        <w:t xml:space="preserve">  Aside from the </w:t>
      </w:r>
      <w:r w:rsidR="008540FD">
        <w:rPr>
          <w:b/>
        </w:rPr>
        <w:t>target return above</w:t>
      </w:r>
      <w:r>
        <w:rPr>
          <w:b/>
        </w:rPr>
        <w:t xml:space="preserve">, name one other thing </w:t>
      </w:r>
      <w:r w:rsidR="008540FD">
        <w:rPr>
          <w:b/>
        </w:rPr>
        <w:t>DJM</w:t>
      </w:r>
      <w:r>
        <w:rPr>
          <w:b/>
        </w:rPr>
        <w:t xml:space="preserve"> would compare the actual return against</w:t>
      </w:r>
      <w:r w:rsidR="00957C66">
        <w:rPr>
          <w:b/>
        </w:rPr>
        <w:t>.</w:t>
      </w:r>
    </w:p>
    <w:p w14:paraId="38DE8837" w14:textId="3B22828A" w:rsidR="004C75C4" w:rsidRDefault="004C75C4">
      <w:r>
        <w:t>.25 x .35 = 8.8 | .10 x .30 = 3.0 | .15 x .05 = .8 | .30 x .15 = 4.5 | .20 x .25 = 5.0</w:t>
      </w:r>
    </w:p>
    <w:p w14:paraId="58426AB2" w14:textId="77777777" w:rsidR="004C75C4" w:rsidRDefault="004C75C4"/>
    <w:p w14:paraId="40DE0D80" w14:textId="134CEFF2" w:rsidR="004C75C4" w:rsidRDefault="004C75C4">
      <w:r>
        <w:t xml:space="preserve">8.8 + 3.0 + .8 + 4.5 + 5.0 = </w:t>
      </w:r>
      <w:r w:rsidRPr="004C75C4">
        <w:rPr>
          <w:highlight w:val="yellow"/>
        </w:rPr>
        <w:t>22.1% Actual Return</w:t>
      </w:r>
    </w:p>
    <w:p w14:paraId="6F1C870E" w14:textId="272E3F59" w:rsidR="005C35ED" w:rsidRDefault="005C35ED"/>
    <w:p w14:paraId="049B3951" w14:textId="2210419A" w:rsidR="004C75C4" w:rsidRDefault="004C75C4">
      <w:r>
        <w:t>DJM would also look at the blended benchmark which is the weighted average of actual asset allocation times benchmark return.</w:t>
      </w:r>
    </w:p>
    <w:p w14:paraId="34760D49" w14:textId="77777777" w:rsidR="003426F6" w:rsidRPr="003426F6" w:rsidRDefault="003426F6">
      <w:pPr>
        <w:rPr>
          <w:b/>
        </w:rPr>
      </w:pPr>
      <w:r w:rsidRPr="003426F6">
        <w:rPr>
          <w:b/>
        </w:rPr>
        <w:t xml:space="preserve">If </w:t>
      </w:r>
      <w:r w:rsidR="008540FD">
        <w:rPr>
          <w:b/>
        </w:rPr>
        <w:t>DJM</w:t>
      </w:r>
      <w:r w:rsidRPr="003426F6">
        <w:rPr>
          <w:b/>
        </w:rPr>
        <w:t xml:space="preserve"> </w:t>
      </w:r>
      <w:r w:rsidR="00AC253C">
        <w:rPr>
          <w:b/>
        </w:rPr>
        <w:t>wanted a target return of</w:t>
      </w:r>
      <w:r w:rsidRPr="003426F6">
        <w:rPr>
          <w:b/>
        </w:rPr>
        <w:t xml:space="preserve"> </w:t>
      </w:r>
      <w:r w:rsidR="00C21BC1">
        <w:rPr>
          <w:b/>
        </w:rPr>
        <w:t>9</w:t>
      </w:r>
      <w:r w:rsidRPr="003426F6">
        <w:rPr>
          <w:b/>
        </w:rPr>
        <w:t>%, what change could they make to the policy?  What are the implications for such a change?</w:t>
      </w:r>
    </w:p>
    <w:p w14:paraId="2FE88442" w14:textId="2241C5D5" w:rsidR="003426F6" w:rsidRDefault="00424CEE">
      <w:r>
        <w:t xml:space="preserve">To achieve 9% </w:t>
      </w:r>
      <w:r w:rsidR="00A14FEC">
        <w:t xml:space="preserve">DJM will have to change the allocations to higher expected return assets.  There are a few </w:t>
      </w:r>
      <w:r w:rsidR="007320D7">
        <w:t>combination</w:t>
      </w:r>
      <w:r w:rsidR="009B3DBE">
        <w:t>s</w:t>
      </w:r>
      <w:r w:rsidR="007320D7">
        <w:t xml:space="preserve"> that will achieve this.  One such would be to </w:t>
      </w:r>
      <w:r w:rsidR="009B3DBE">
        <w:t xml:space="preserve">take Hedge Funds from </w:t>
      </w:r>
      <w:r w:rsidR="007D5F59">
        <w:t>40% down to 10% and add the 30% removed to Private Capital. That will change the target rate to 9%.</w:t>
      </w:r>
      <w:r w:rsidR="00800205">
        <w:t xml:space="preserve">  One implication is that this change decreases diversification.  Over half of the </w:t>
      </w:r>
      <w:r w:rsidR="00500C02">
        <w:t xml:space="preserve">assets are allocated to one sector.  This will lead to an increase in risk </w:t>
      </w:r>
      <w:r w:rsidR="007A444C">
        <w:t xml:space="preserve">and possibly illiquidity.  </w:t>
      </w:r>
    </w:p>
    <w:p w14:paraId="0626B08C" w14:textId="77777777" w:rsidR="005C35ED" w:rsidRDefault="005C35ED"/>
    <w:p w14:paraId="154F92CD" w14:textId="77777777" w:rsidR="003426F6" w:rsidRDefault="003426F6">
      <w:pPr>
        <w:rPr>
          <w:b/>
        </w:rPr>
      </w:pPr>
      <w:r w:rsidRPr="003426F6">
        <w:rPr>
          <w:b/>
        </w:rPr>
        <w:t xml:space="preserve">Asset allocation is one element of the Investment Policy.  Name and briefly describe </w:t>
      </w:r>
      <w:r w:rsidR="00066181">
        <w:rPr>
          <w:b/>
        </w:rPr>
        <w:t>3</w:t>
      </w:r>
      <w:r w:rsidRPr="003426F6">
        <w:rPr>
          <w:b/>
        </w:rPr>
        <w:t xml:space="preserve"> others.</w:t>
      </w:r>
    </w:p>
    <w:p w14:paraId="62FABA23" w14:textId="464F41B5" w:rsidR="00722CBC" w:rsidRDefault="00BD647B">
      <w:pPr>
        <w:rPr>
          <w:bCs/>
        </w:rPr>
      </w:pPr>
      <w:r>
        <w:rPr>
          <w:bCs/>
        </w:rPr>
        <w:t>Manager selection</w:t>
      </w:r>
    </w:p>
    <w:p w14:paraId="1B4F53FE" w14:textId="2E57B857" w:rsidR="00BD647B" w:rsidRDefault="00864353">
      <w:pPr>
        <w:rPr>
          <w:bCs/>
        </w:rPr>
      </w:pPr>
      <w:r>
        <w:rPr>
          <w:bCs/>
        </w:rPr>
        <w:lastRenderedPageBreak/>
        <w:t>Performance Evaluation</w:t>
      </w:r>
      <w:r w:rsidR="00E027F8">
        <w:rPr>
          <w:bCs/>
        </w:rPr>
        <w:t xml:space="preserve"> - </w:t>
      </w:r>
    </w:p>
    <w:p w14:paraId="6CF76781" w14:textId="580B7E9F" w:rsidR="009D0976" w:rsidRDefault="009D0976">
      <w:pPr>
        <w:rPr>
          <w:bCs/>
        </w:rPr>
      </w:pPr>
      <w:r>
        <w:rPr>
          <w:bCs/>
        </w:rPr>
        <w:t>Investment Objectives &amp; Spending Policy</w:t>
      </w:r>
    </w:p>
    <w:p w14:paraId="5C521F74" w14:textId="77777777" w:rsidR="002809F3" w:rsidRPr="00BD647B" w:rsidRDefault="002809F3">
      <w:pPr>
        <w:rPr>
          <w:bCs/>
        </w:rPr>
      </w:pPr>
    </w:p>
    <w:sectPr w:rsidR="002809F3" w:rsidRPr="00BD647B" w:rsidSect="00957C6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4CE1C" w14:textId="77777777" w:rsidR="000240D3" w:rsidRDefault="000240D3" w:rsidP="00BD647B">
      <w:r>
        <w:separator/>
      </w:r>
    </w:p>
  </w:endnote>
  <w:endnote w:type="continuationSeparator" w:id="0">
    <w:p w14:paraId="688F3A9F" w14:textId="77777777" w:rsidR="000240D3" w:rsidRDefault="000240D3" w:rsidP="00BD6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0F63E" w14:textId="77777777" w:rsidR="000240D3" w:rsidRDefault="000240D3" w:rsidP="00BD647B">
      <w:r>
        <w:separator/>
      </w:r>
    </w:p>
  </w:footnote>
  <w:footnote w:type="continuationSeparator" w:id="0">
    <w:p w14:paraId="3A5C4F51" w14:textId="77777777" w:rsidR="000240D3" w:rsidRDefault="000240D3" w:rsidP="00BD6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265B" w14:textId="7E1E33E3" w:rsidR="00BD647B" w:rsidRDefault="00BD647B">
    <w:pPr>
      <w:pStyle w:val="Header"/>
    </w:pPr>
    <w:r>
      <w:t>Joe Fisher</w:t>
    </w:r>
  </w:p>
  <w:p w14:paraId="48C0F98E" w14:textId="77777777" w:rsidR="00BD647B" w:rsidRDefault="00BD64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F6"/>
    <w:rsid w:val="000240D3"/>
    <w:rsid w:val="00066181"/>
    <w:rsid w:val="00140504"/>
    <w:rsid w:val="002809F3"/>
    <w:rsid w:val="003426F6"/>
    <w:rsid w:val="00380F92"/>
    <w:rsid w:val="00424CEE"/>
    <w:rsid w:val="004C75C4"/>
    <w:rsid w:val="00500C02"/>
    <w:rsid w:val="005C35ED"/>
    <w:rsid w:val="00675795"/>
    <w:rsid w:val="006A73AD"/>
    <w:rsid w:val="00707E00"/>
    <w:rsid w:val="00722CBC"/>
    <w:rsid w:val="007320D7"/>
    <w:rsid w:val="00794D20"/>
    <w:rsid w:val="007A444C"/>
    <w:rsid w:val="007D5F59"/>
    <w:rsid w:val="00800205"/>
    <w:rsid w:val="008540FD"/>
    <w:rsid w:val="00864353"/>
    <w:rsid w:val="00957C66"/>
    <w:rsid w:val="00971492"/>
    <w:rsid w:val="00974D8A"/>
    <w:rsid w:val="009B29E1"/>
    <w:rsid w:val="009B3DBE"/>
    <w:rsid w:val="009D0976"/>
    <w:rsid w:val="00A14FEC"/>
    <w:rsid w:val="00AC253C"/>
    <w:rsid w:val="00AF4E51"/>
    <w:rsid w:val="00BD647B"/>
    <w:rsid w:val="00C21BC1"/>
    <w:rsid w:val="00C45AB0"/>
    <w:rsid w:val="00C54C46"/>
    <w:rsid w:val="00D110F0"/>
    <w:rsid w:val="00E027F8"/>
    <w:rsid w:val="00EB342F"/>
    <w:rsid w:val="00EC6C17"/>
    <w:rsid w:val="00F6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9E16"/>
  <w15:docId w15:val="{7B96D0F0-D33B-407D-AE37-A02773F1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3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64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47B"/>
  </w:style>
  <w:style w:type="paragraph" w:styleId="Footer">
    <w:name w:val="footer"/>
    <w:basedOn w:val="Normal"/>
    <w:link w:val="FooterChar"/>
    <w:uiPriority w:val="99"/>
    <w:unhideWhenUsed/>
    <w:rsid w:val="00BD64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College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Martens</dc:creator>
  <cp:lastModifiedBy>Joe Fisher</cp:lastModifiedBy>
  <cp:revision>19</cp:revision>
  <dcterms:created xsi:type="dcterms:W3CDTF">2026-09-17T21:47:00Z</dcterms:created>
  <dcterms:modified xsi:type="dcterms:W3CDTF">2026-09-18T00:31:00Z</dcterms:modified>
</cp:coreProperties>
</file>