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61" w:rsidRDefault="00847AC9" w:rsidP="00847AC9">
      <w:pPr>
        <w:tabs>
          <w:tab w:val="left" w:pos="1440"/>
        </w:tabs>
        <w:spacing w:after="0" w:line="240" w:lineRule="auto"/>
        <w:jc w:val="center"/>
      </w:pPr>
      <w:r>
        <w:rPr>
          <w:noProof/>
        </w:rPr>
        <w:drawing>
          <wp:inline distT="0" distB="0" distL="0" distR="0">
            <wp:extent cx="3836670" cy="9725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ntennialLockupWLogoP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5313" cy="979819"/>
                    </a:xfrm>
                    <a:prstGeom prst="rect">
                      <a:avLst/>
                    </a:prstGeom>
                  </pic:spPr>
                </pic:pic>
              </a:graphicData>
            </a:graphic>
          </wp:inline>
        </w:drawing>
      </w:r>
    </w:p>
    <w:p w:rsidR="00847AC9" w:rsidRDefault="00847AC9" w:rsidP="00DA5B9D">
      <w:pPr>
        <w:spacing w:after="0" w:line="240" w:lineRule="auto"/>
        <w:jc w:val="center"/>
        <w:rPr>
          <w:b/>
          <w:i/>
          <w:smallCaps/>
          <w:sz w:val="32"/>
        </w:rPr>
      </w:pPr>
    </w:p>
    <w:p w:rsidR="00156315" w:rsidRPr="00156315" w:rsidRDefault="007179E1" w:rsidP="00DA5B9D">
      <w:pPr>
        <w:spacing w:after="0" w:line="240" w:lineRule="auto"/>
        <w:jc w:val="center"/>
        <w:rPr>
          <w:b/>
          <w:i/>
          <w:smallCaps/>
          <w:sz w:val="32"/>
        </w:rPr>
      </w:pPr>
      <w:r>
        <w:rPr>
          <w:b/>
          <w:i/>
          <w:smallCaps/>
          <w:sz w:val="32"/>
        </w:rPr>
        <w:t>Multivariate analysis of a late-stage restoration thinning experiment at RNP: 0, 5, &amp; 10-year outcomes</w:t>
      </w:r>
    </w:p>
    <w:p w:rsidR="00941FE7" w:rsidRPr="00847AC9" w:rsidRDefault="00D53A61" w:rsidP="00DA5B9D">
      <w:pPr>
        <w:spacing w:after="0" w:line="240" w:lineRule="auto"/>
        <w:jc w:val="center"/>
        <w:rPr>
          <w:b/>
          <w:smallCaps/>
          <w:sz w:val="28"/>
        </w:rPr>
      </w:pPr>
      <w:r w:rsidRPr="00847AC9">
        <w:rPr>
          <w:b/>
          <w:smallCaps/>
          <w:sz w:val="28"/>
        </w:rPr>
        <w:t>201</w:t>
      </w:r>
      <w:r w:rsidR="000B6D46">
        <w:rPr>
          <w:b/>
          <w:smallCaps/>
          <w:sz w:val="28"/>
        </w:rPr>
        <w:t>9</w:t>
      </w:r>
      <w:r w:rsidRPr="00847AC9">
        <w:rPr>
          <w:b/>
          <w:smallCaps/>
          <w:sz w:val="28"/>
        </w:rPr>
        <w:t xml:space="preserve"> </w:t>
      </w:r>
      <w:r w:rsidR="0091236F" w:rsidRPr="00847AC9">
        <w:rPr>
          <w:b/>
          <w:smallCaps/>
          <w:sz w:val="28"/>
        </w:rPr>
        <w:t>Grant Proposal</w:t>
      </w:r>
    </w:p>
    <w:p w:rsidR="00847AC9" w:rsidRDefault="00847AC9" w:rsidP="00DA5B9D">
      <w:pPr>
        <w:spacing w:after="0" w:line="24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160"/>
      </w:tblGrid>
      <w:tr w:rsidR="00D53A61" w:rsidTr="00D53A61">
        <w:trPr>
          <w:trHeight w:val="360"/>
          <w:jc w:val="center"/>
        </w:trPr>
        <w:tc>
          <w:tcPr>
            <w:tcW w:w="2335" w:type="dxa"/>
          </w:tcPr>
          <w:p w:rsidR="00D53A61" w:rsidRPr="008D0BC0" w:rsidRDefault="00D53A61" w:rsidP="00DA5B9D">
            <w:r w:rsidRPr="008D0BC0">
              <w:t xml:space="preserve">Project start date:  </w:t>
            </w:r>
          </w:p>
        </w:tc>
        <w:tc>
          <w:tcPr>
            <w:tcW w:w="2160" w:type="dxa"/>
            <w:tcBorders>
              <w:bottom w:val="single" w:sz="4" w:space="0" w:color="auto"/>
            </w:tcBorders>
          </w:tcPr>
          <w:p w:rsidR="00D53A61" w:rsidRDefault="00232444" w:rsidP="00DA5B9D">
            <w:r>
              <w:t>Summer 2020</w:t>
            </w:r>
          </w:p>
        </w:tc>
      </w:tr>
      <w:tr w:rsidR="00D53A61" w:rsidTr="00D53A61">
        <w:trPr>
          <w:trHeight w:val="350"/>
          <w:jc w:val="center"/>
        </w:trPr>
        <w:tc>
          <w:tcPr>
            <w:tcW w:w="2335" w:type="dxa"/>
          </w:tcPr>
          <w:p w:rsidR="00D53A61" w:rsidRPr="008D0BC0" w:rsidRDefault="00D53A61" w:rsidP="00DA5B9D">
            <w:r w:rsidRPr="008D0BC0">
              <w:t>Project end date:</w:t>
            </w:r>
          </w:p>
        </w:tc>
        <w:tc>
          <w:tcPr>
            <w:tcW w:w="2160" w:type="dxa"/>
            <w:tcBorders>
              <w:top w:val="single" w:sz="4" w:space="0" w:color="auto"/>
              <w:bottom w:val="single" w:sz="4" w:space="0" w:color="auto"/>
            </w:tcBorders>
          </w:tcPr>
          <w:p w:rsidR="00D53A61" w:rsidRDefault="00232444" w:rsidP="00DA5B9D">
            <w:r>
              <w:t>Spring 2022</w:t>
            </w:r>
          </w:p>
        </w:tc>
      </w:tr>
      <w:tr w:rsidR="00D53A61" w:rsidTr="00D53A61">
        <w:trPr>
          <w:trHeight w:val="350"/>
          <w:jc w:val="center"/>
        </w:trPr>
        <w:tc>
          <w:tcPr>
            <w:tcW w:w="2335" w:type="dxa"/>
          </w:tcPr>
          <w:p w:rsidR="00D53A61" w:rsidRPr="008D0BC0" w:rsidRDefault="00D53A61" w:rsidP="00DA5B9D">
            <w:r>
              <w:t>Funds</w:t>
            </w:r>
            <w:r w:rsidRPr="008D0BC0">
              <w:t xml:space="preserve"> requested:</w:t>
            </w:r>
          </w:p>
        </w:tc>
        <w:tc>
          <w:tcPr>
            <w:tcW w:w="2160" w:type="dxa"/>
            <w:tcBorders>
              <w:top w:val="single" w:sz="4" w:space="0" w:color="auto"/>
              <w:bottom w:val="single" w:sz="4" w:space="0" w:color="auto"/>
            </w:tcBorders>
          </w:tcPr>
          <w:p w:rsidR="00D53A61" w:rsidRDefault="00232444" w:rsidP="00DA5B9D">
            <w:r>
              <w:t>$25,000</w:t>
            </w:r>
          </w:p>
        </w:tc>
      </w:tr>
    </w:tbl>
    <w:p w:rsidR="00D53A61" w:rsidRDefault="00D53A61" w:rsidP="00DA5B9D">
      <w:pPr>
        <w:spacing w:after="0" w:line="240" w:lineRule="auto"/>
      </w:pPr>
    </w:p>
    <w:tbl>
      <w:tblPr>
        <w:tblStyle w:val="TableGrid"/>
        <w:tblW w:w="0" w:type="auto"/>
        <w:jc w:val="center"/>
        <w:tblLook w:val="04A0" w:firstRow="1" w:lastRow="0" w:firstColumn="1" w:lastColumn="0" w:noHBand="0" w:noVBand="1"/>
      </w:tblPr>
      <w:tblGrid>
        <w:gridCol w:w="2335"/>
        <w:gridCol w:w="4675"/>
      </w:tblGrid>
      <w:tr w:rsidR="00D53A61" w:rsidRPr="00D53A61" w:rsidTr="00D53A61">
        <w:trPr>
          <w:jc w:val="center"/>
        </w:trPr>
        <w:tc>
          <w:tcPr>
            <w:tcW w:w="2335" w:type="dxa"/>
          </w:tcPr>
          <w:p w:rsidR="00D53A61" w:rsidRPr="00D53A61" w:rsidRDefault="00D53A61" w:rsidP="00DA5B9D">
            <w:r w:rsidRPr="00D53A61">
              <w:t>Primary investigator:</w:t>
            </w:r>
          </w:p>
        </w:tc>
        <w:tc>
          <w:tcPr>
            <w:tcW w:w="4675" w:type="dxa"/>
          </w:tcPr>
          <w:p w:rsidR="00D53A61" w:rsidRPr="00D53A61" w:rsidRDefault="00232444" w:rsidP="00DA5B9D">
            <w:r>
              <w:t xml:space="preserve">Christa Dagley </w:t>
            </w:r>
          </w:p>
        </w:tc>
      </w:tr>
      <w:tr w:rsidR="00D53A61" w:rsidRPr="00D53A61" w:rsidTr="00D53A61">
        <w:trPr>
          <w:jc w:val="center"/>
        </w:trPr>
        <w:tc>
          <w:tcPr>
            <w:tcW w:w="2335" w:type="dxa"/>
          </w:tcPr>
          <w:p w:rsidR="00D53A61" w:rsidRPr="00D53A61" w:rsidRDefault="00D53A61" w:rsidP="00DA5B9D">
            <w:r w:rsidRPr="00D53A61">
              <w:t>Position/Title:</w:t>
            </w:r>
          </w:p>
        </w:tc>
        <w:tc>
          <w:tcPr>
            <w:tcW w:w="4675" w:type="dxa"/>
          </w:tcPr>
          <w:p w:rsidR="00D53A61" w:rsidRPr="00D53A61" w:rsidRDefault="00232444" w:rsidP="00DA5B9D">
            <w:r>
              <w:t>Research Assistant</w:t>
            </w:r>
          </w:p>
        </w:tc>
      </w:tr>
      <w:tr w:rsidR="00D53A61" w:rsidRPr="00D53A61" w:rsidTr="00D53A61">
        <w:trPr>
          <w:jc w:val="center"/>
        </w:trPr>
        <w:tc>
          <w:tcPr>
            <w:tcW w:w="2335" w:type="dxa"/>
          </w:tcPr>
          <w:p w:rsidR="00D53A61" w:rsidRPr="00D53A61" w:rsidRDefault="00D53A61" w:rsidP="00DA5B9D">
            <w:r w:rsidRPr="00D53A61">
              <w:t>Mailing Address:</w:t>
            </w:r>
          </w:p>
        </w:tc>
        <w:tc>
          <w:tcPr>
            <w:tcW w:w="4675" w:type="dxa"/>
          </w:tcPr>
          <w:p w:rsidR="00D53A61" w:rsidRPr="00D53A61" w:rsidRDefault="00232444" w:rsidP="00DA5B9D">
            <w:r>
              <w:t xml:space="preserve">260A Nutting Hall, </w:t>
            </w:r>
            <w:proofErr w:type="spellStart"/>
            <w:r>
              <w:t>Orono</w:t>
            </w:r>
            <w:proofErr w:type="spellEnd"/>
            <w:r>
              <w:t>, ME 04469-5755</w:t>
            </w:r>
          </w:p>
        </w:tc>
      </w:tr>
      <w:tr w:rsidR="00D53A61" w:rsidRPr="00D53A61" w:rsidTr="00D53A61">
        <w:trPr>
          <w:jc w:val="center"/>
        </w:trPr>
        <w:tc>
          <w:tcPr>
            <w:tcW w:w="2335" w:type="dxa"/>
          </w:tcPr>
          <w:p w:rsidR="00D53A61" w:rsidRPr="00D53A61" w:rsidRDefault="00D53A61" w:rsidP="00DA5B9D">
            <w:r w:rsidRPr="00D53A61">
              <w:t>Telephone:</w:t>
            </w:r>
          </w:p>
        </w:tc>
        <w:tc>
          <w:tcPr>
            <w:tcW w:w="4675" w:type="dxa"/>
          </w:tcPr>
          <w:p w:rsidR="00D53A61" w:rsidRPr="00D53A61" w:rsidRDefault="00232444" w:rsidP="00DA5B9D">
            <w:r>
              <w:t>(707) 601-7826</w:t>
            </w:r>
          </w:p>
        </w:tc>
      </w:tr>
      <w:tr w:rsidR="00D53A61" w:rsidRPr="00D53A61" w:rsidTr="00D53A61">
        <w:trPr>
          <w:jc w:val="center"/>
        </w:trPr>
        <w:tc>
          <w:tcPr>
            <w:tcW w:w="2335" w:type="dxa"/>
          </w:tcPr>
          <w:p w:rsidR="00D53A61" w:rsidRPr="00D53A61" w:rsidRDefault="00D53A61" w:rsidP="00DA5B9D">
            <w:r w:rsidRPr="00D53A61">
              <w:t>Email address:</w:t>
            </w:r>
          </w:p>
        </w:tc>
        <w:tc>
          <w:tcPr>
            <w:tcW w:w="4675" w:type="dxa"/>
          </w:tcPr>
          <w:p w:rsidR="00D53A61" w:rsidRPr="00D53A61" w:rsidRDefault="00232444" w:rsidP="00DA5B9D">
            <w:r>
              <w:t>christadagley@gmail.com</w:t>
            </w:r>
          </w:p>
        </w:tc>
      </w:tr>
      <w:tr w:rsidR="00D53A61" w:rsidRPr="00D53A61" w:rsidTr="00D53A61">
        <w:trPr>
          <w:jc w:val="center"/>
        </w:trPr>
        <w:tc>
          <w:tcPr>
            <w:tcW w:w="2335" w:type="dxa"/>
          </w:tcPr>
          <w:p w:rsidR="00D53A61" w:rsidRPr="00D53A61" w:rsidRDefault="00D53A61" w:rsidP="00DA5B9D">
            <w:r w:rsidRPr="00D53A61">
              <w:t>Institution:</w:t>
            </w:r>
          </w:p>
        </w:tc>
        <w:tc>
          <w:tcPr>
            <w:tcW w:w="4675" w:type="dxa"/>
          </w:tcPr>
          <w:p w:rsidR="00D53A61" w:rsidRPr="00D53A61" w:rsidRDefault="00232444" w:rsidP="00DA5B9D">
            <w:r>
              <w:t xml:space="preserve">University of Maine </w:t>
            </w:r>
          </w:p>
        </w:tc>
      </w:tr>
    </w:tbl>
    <w:p w:rsidR="00D53A61" w:rsidRDefault="00D53A61" w:rsidP="00DA5B9D">
      <w:pPr>
        <w:spacing w:after="0" w:line="240" w:lineRule="auto"/>
      </w:pPr>
    </w:p>
    <w:tbl>
      <w:tblPr>
        <w:tblStyle w:val="TableGrid"/>
        <w:tblW w:w="0" w:type="auto"/>
        <w:jc w:val="center"/>
        <w:tblLook w:val="04A0" w:firstRow="1" w:lastRow="0" w:firstColumn="1" w:lastColumn="0" w:noHBand="0" w:noVBand="1"/>
      </w:tblPr>
      <w:tblGrid>
        <w:gridCol w:w="2335"/>
        <w:gridCol w:w="4675"/>
      </w:tblGrid>
      <w:tr w:rsidR="00D53A61" w:rsidTr="00D53A61">
        <w:trPr>
          <w:jc w:val="center"/>
        </w:trPr>
        <w:tc>
          <w:tcPr>
            <w:tcW w:w="2335" w:type="dxa"/>
          </w:tcPr>
          <w:p w:rsidR="00D53A61" w:rsidRPr="00123532" w:rsidRDefault="00D53A61" w:rsidP="00DA5B9D">
            <w:r>
              <w:t>Co-investigator</w:t>
            </w:r>
            <w:r w:rsidRPr="00123532">
              <w:t>:</w:t>
            </w:r>
          </w:p>
        </w:tc>
        <w:tc>
          <w:tcPr>
            <w:tcW w:w="4675" w:type="dxa"/>
          </w:tcPr>
          <w:p w:rsidR="00D53A61" w:rsidRDefault="00232444" w:rsidP="00DA5B9D">
            <w:r>
              <w:t xml:space="preserve">Pascal Berrill </w:t>
            </w:r>
          </w:p>
        </w:tc>
      </w:tr>
      <w:tr w:rsidR="00D53A61" w:rsidTr="00D53A61">
        <w:trPr>
          <w:jc w:val="center"/>
        </w:trPr>
        <w:tc>
          <w:tcPr>
            <w:tcW w:w="2335" w:type="dxa"/>
          </w:tcPr>
          <w:p w:rsidR="00D53A61" w:rsidRPr="00123532" w:rsidRDefault="00D53A61" w:rsidP="00DA5B9D">
            <w:r w:rsidRPr="00123532">
              <w:t>Position/Title:</w:t>
            </w:r>
          </w:p>
        </w:tc>
        <w:tc>
          <w:tcPr>
            <w:tcW w:w="4675" w:type="dxa"/>
          </w:tcPr>
          <w:p w:rsidR="00D53A61" w:rsidRDefault="00232444" w:rsidP="00DA5B9D">
            <w:r>
              <w:t xml:space="preserve">Professor </w:t>
            </w:r>
          </w:p>
        </w:tc>
      </w:tr>
      <w:tr w:rsidR="00D53A61" w:rsidTr="00D53A61">
        <w:trPr>
          <w:jc w:val="center"/>
        </w:trPr>
        <w:tc>
          <w:tcPr>
            <w:tcW w:w="2335" w:type="dxa"/>
          </w:tcPr>
          <w:p w:rsidR="00D53A61" w:rsidRPr="00123532" w:rsidRDefault="00D53A61" w:rsidP="00DA5B9D">
            <w:r w:rsidRPr="00123532">
              <w:t>Mailing Address:</w:t>
            </w:r>
          </w:p>
        </w:tc>
        <w:tc>
          <w:tcPr>
            <w:tcW w:w="4675" w:type="dxa"/>
          </w:tcPr>
          <w:p w:rsidR="00D53A61" w:rsidRDefault="00232444" w:rsidP="00DA5B9D">
            <w:r>
              <w:t xml:space="preserve">201 Nutting Hall, </w:t>
            </w:r>
            <w:proofErr w:type="spellStart"/>
            <w:r>
              <w:t>Orono</w:t>
            </w:r>
            <w:proofErr w:type="spellEnd"/>
            <w:r>
              <w:t>, ME 04469-5755</w:t>
            </w:r>
          </w:p>
        </w:tc>
      </w:tr>
      <w:tr w:rsidR="00D53A61" w:rsidTr="00D53A61">
        <w:trPr>
          <w:jc w:val="center"/>
        </w:trPr>
        <w:tc>
          <w:tcPr>
            <w:tcW w:w="2335" w:type="dxa"/>
          </w:tcPr>
          <w:p w:rsidR="00D53A61" w:rsidRPr="00123532" w:rsidRDefault="00D53A61" w:rsidP="00DA5B9D">
            <w:r w:rsidRPr="00123532">
              <w:t>Telephone:</w:t>
            </w:r>
          </w:p>
        </w:tc>
        <w:tc>
          <w:tcPr>
            <w:tcW w:w="4675" w:type="dxa"/>
          </w:tcPr>
          <w:p w:rsidR="00D53A61" w:rsidRDefault="00232444" w:rsidP="00DA5B9D">
            <w:r>
              <w:t>(207) 581-2836</w:t>
            </w:r>
          </w:p>
        </w:tc>
      </w:tr>
      <w:tr w:rsidR="00D53A61" w:rsidTr="00D53A61">
        <w:trPr>
          <w:jc w:val="center"/>
        </w:trPr>
        <w:tc>
          <w:tcPr>
            <w:tcW w:w="2335" w:type="dxa"/>
          </w:tcPr>
          <w:p w:rsidR="00D53A61" w:rsidRPr="00123532" w:rsidRDefault="00D53A61" w:rsidP="00DA5B9D">
            <w:r w:rsidRPr="00123532">
              <w:t>Email address:</w:t>
            </w:r>
          </w:p>
        </w:tc>
        <w:tc>
          <w:tcPr>
            <w:tcW w:w="4675" w:type="dxa"/>
          </w:tcPr>
          <w:p w:rsidR="00D53A61" w:rsidRDefault="00232444" w:rsidP="00DA5B9D">
            <w:r>
              <w:t>pascal.berrill@maine.edu</w:t>
            </w:r>
          </w:p>
        </w:tc>
      </w:tr>
      <w:tr w:rsidR="00D53A61" w:rsidTr="00D53A61">
        <w:trPr>
          <w:jc w:val="center"/>
        </w:trPr>
        <w:tc>
          <w:tcPr>
            <w:tcW w:w="2335" w:type="dxa"/>
          </w:tcPr>
          <w:p w:rsidR="00D53A61" w:rsidRPr="00123532" w:rsidRDefault="00D53A61" w:rsidP="00DA5B9D">
            <w:r w:rsidRPr="00123532">
              <w:t>Institution:</w:t>
            </w:r>
          </w:p>
        </w:tc>
        <w:tc>
          <w:tcPr>
            <w:tcW w:w="4675" w:type="dxa"/>
          </w:tcPr>
          <w:p w:rsidR="00D53A61" w:rsidRDefault="00232444" w:rsidP="00DA5B9D">
            <w:r>
              <w:t>University of Maine</w:t>
            </w:r>
          </w:p>
        </w:tc>
      </w:tr>
    </w:tbl>
    <w:p w:rsidR="00D53A61" w:rsidRDefault="00D53A61" w:rsidP="00DA5B9D">
      <w:pPr>
        <w:spacing w:after="0" w:line="240" w:lineRule="auto"/>
        <w:rPr>
          <w:sz w:val="14"/>
        </w:rPr>
      </w:pPr>
    </w:p>
    <w:tbl>
      <w:tblPr>
        <w:tblStyle w:val="TableGrid"/>
        <w:tblW w:w="0" w:type="auto"/>
        <w:jc w:val="center"/>
        <w:tblLook w:val="04A0" w:firstRow="1" w:lastRow="0" w:firstColumn="1" w:lastColumn="0" w:noHBand="0" w:noVBand="1"/>
      </w:tblPr>
      <w:tblGrid>
        <w:gridCol w:w="2335"/>
        <w:gridCol w:w="4675"/>
      </w:tblGrid>
      <w:tr w:rsidR="00232444" w:rsidTr="00E564F8">
        <w:trPr>
          <w:jc w:val="center"/>
        </w:trPr>
        <w:tc>
          <w:tcPr>
            <w:tcW w:w="2335" w:type="dxa"/>
          </w:tcPr>
          <w:p w:rsidR="00232444" w:rsidRPr="00123532" w:rsidRDefault="00232444" w:rsidP="00E564F8">
            <w:r>
              <w:t>Co-investigator</w:t>
            </w:r>
            <w:r w:rsidRPr="00123532">
              <w:t>:</w:t>
            </w:r>
          </w:p>
        </w:tc>
        <w:tc>
          <w:tcPr>
            <w:tcW w:w="4675" w:type="dxa"/>
          </w:tcPr>
          <w:p w:rsidR="00232444" w:rsidRDefault="00232444" w:rsidP="00E564F8">
            <w:r>
              <w:t xml:space="preserve">Jason </w:t>
            </w:r>
            <w:proofErr w:type="spellStart"/>
            <w:r>
              <w:t>Teraoka</w:t>
            </w:r>
            <w:proofErr w:type="spellEnd"/>
            <w:r>
              <w:t xml:space="preserve"> </w:t>
            </w:r>
          </w:p>
        </w:tc>
      </w:tr>
      <w:tr w:rsidR="00232444" w:rsidTr="00E564F8">
        <w:trPr>
          <w:jc w:val="center"/>
        </w:trPr>
        <w:tc>
          <w:tcPr>
            <w:tcW w:w="2335" w:type="dxa"/>
          </w:tcPr>
          <w:p w:rsidR="00232444" w:rsidRPr="00123532" w:rsidRDefault="00232444" w:rsidP="00E564F8">
            <w:r w:rsidRPr="00123532">
              <w:t>Position/Title:</w:t>
            </w:r>
          </w:p>
        </w:tc>
        <w:tc>
          <w:tcPr>
            <w:tcW w:w="4675" w:type="dxa"/>
          </w:tcPr>
          <w:p w:rsidR="00232444" w:rsidRDefault="00232444" w:rsidP="00E564F8">
            <w:r>
              <w:t xml:space="preserve">Forester </w:t>
            </w:r>
          </w:p>
        </w:tc>
      </w:tr>
      <w:tr w:rsidR="00232444" w:rsidTr="00E564F8">
        <w:trPr>
          <w:jc w:val="center"/>
        </w:trPr>
        <w:tc>
          <w:tcPr>
            <w:tcW w:w="2335" w:type="dxa"/>
          </w:tcPr>
          <w:p w:rsidR="00232444" w:rsidRPr="00123532" w:rsidRDefault="00232444" w:rsidP="00E564F8">
            <w:r w:rsidRPr="00123532">
              <w:t>Mailing Address:</w:t>
            </w:r>
          </w:p>
        </w:tc>
        <w:tc>
          <w:tcPr>
            <w:tcW w:w="4675" w:type="dxa"/>
          </w:tcPr>
          <w:p w:rsidR="00232444" w:rsidRDefault="00232444" w:rsidP="00E564F8">
            <w:r>
              <w:t xml:space="preserve">PO Box 7, 121200 US Hwy 101, </w:t>
            </w:r>
            <w:proofErr w:type="spellStart"/>
            <w:r>
              <w:t>Orick</w:t>
            </w:r>
            <w:proofErr w:type="spellEnd"/>
            <w:r>
              <w:t>, CA 95555</w:t>
            </w:r>
          </w:p>
        </w:tc>
      </w:tr>
      <w:tr w:rsidR="00232444" w:rsidTr="00E564F8">
        <w:trPr>
          <w:jc w:val="center"/>
        </w:trPr>
        <w:tc>
          <w:tcPr>
            <w:tcW w:w="2335" w:type="dxa"/>
          </w:tcPr>
          <w:p w:rsidR="00232444" w:rsidRPr="00123532" w:rsidRDefault="00232444" w:rsidP="00E564F8">
            <w:r w:rsidRPr="00123532">
              <w:t>Telephone:</w:t>
            </w:r>
          </w:p>
        </w:tc>
        <w:tc>
          <w:tcPr>
            <w:tcW w:w="4675" w:type="dxa"/>
          </w:tcPr>
          <w:p w:rsidR="00232444" w:rsidRDefault="00232444" w:rsidP="00E564F8">
            <w:r>
              <w:t>(707) 465-7783</w:t>
            </w:r>
          </w:p>
        </w:tc>
      </w:tr>
      <w:tr w:rsidR="00232444" w:rsidTr="00E564F8">
        <w:trPr>
          <w:jc w:val="center"/>
        </w:trPr>
        <w:tc>
          <w:tcPr>
            <w:tcW w:w="2335" w:type="dxa"/>
          </w:tcPr>
          <w:p w:rsidR="00232444" w:rsidRPr="00123532" w:rsidRDefault="00232444" w:rsidP="00E564F8">
            <w:r w:rsidRPr="00123532">
              <w:t>Email address:</w:t>
            </w:r>
          </w:p>
        </w:tc>
        <w:tc>
          <w:tcPr>
            <w:tcW w:w="4675" w:type="dxa"/>
          </w:tcPr>
          <w:p w:rsidR="00232444" w:rsidRDefault="00232444" w:rsidP="00E564F8">
            <w:r>
              <w:t>Jason_Teraoka@nps.gov</w:t>
            </w:r>
          </w:p>
        </w:tc>
      </w:tr>
      <w:tr w:rsidR="00232444" w:rsidTr="00E564F8">
        <w:trPr>
          <w:jc w:val="center"/>
        </w:trPr>
        <w:tc>
          <w:tcPr>
            <w:tcW w:w="2335" w:type="dxa"/>
          </w:tcPr>
          <w:p w:rsidR="00232444" w:rsidRPr="00123532" w:rsidRDefault="00232444" w:rsidP="00E564F8">
            <w:r w:rsidRPr="00123532">
              <w:t>Institution:</w:t>
            </w:r>
          </w:p>
        </w:tc>
        <w:tc>
          <w:tcPr>
            <w:tcW w:w="4675" w:type="dxa"/>
          </w:tcPr>
          <w:p w:rsidR="00232444" w:rsidRDefault="00232444" w:rsidP="00E564F8">
            <w:r>
              <w:t xml:space="preserve">Redwood National Park </w:t>
            </w:r>
          </w:p>
        </w:tc>
      </w:tr>
    </w:tbl>
    <w:p w:rsidR="00232444" w:rsidRPr="00DA5B9D" w:rsidRDefault="00232444" w:rsidP="00DA5B9D">
      <w:pPr>
        <w:spacing w:after="0" w:line="240" w:lineRule="auto"/>
        <w:rPr>
          <w:sz w:val="14"/>
        </w:rPr>
      </w:pPr>
    </w:p>
    <w:p w:rsidR="00847AC9" w:rsidRPr="00B22F51" w:rsidRDefault="00847AC9" w:rsidP="00DA5B9D">
      <w:pPr>
        <w:spacing w:after="0" w:line="240" w:lineRule="auto"/>
        <w:rPr>
          <w:b/>
        </w:rPr>
      </w:pPr>
      <w:r w:rsidRPr="00B22F51">
        <w:rPr>
          <w:b/>
        </w:rPr>
        <w:t>Additional Collaborators:</w:t>
      </w:r>
    </w:p>
    <w:tbl>
      <w:tblPr>
        <w:tblStyle w:val="TableGrid"/>
        <w:tblW w:w="0" w:type="auto"/>
        <w:jc w:val="center"/>
        <w:tblLook w:val="04A0" w:firstRow="1" w:lastRow="0" w:firstColumn="1" w:lastColumn="0" w:noHBand="0" w:noVBand="1"/>
      </w:tblPr>
      <w:tblGrid>
        <w:gridCol w:w="2515"/>
        <w:gridCol w:w="4675"/>
      </w:tblGrid>
      <w:tr w:rsidR="00847AC9" w:rsidTr="00E564F8">
        <w:trPr>
          <w:trHeight w:val="288"/>
          <w:jc w:val="center"/>
        </w:trPr>
        <w:tc>
          <w:tcPr>
            <w:tcW w:w="2515" w:type="dxa"/>
          </w:tcPr>
          <w:p w:rsidR="00847AC9" w:rsidRPr="00B22F51" w:rsidRDefault="00847AC9" w:rsidP="00DA5B9D">
            <w:pPr>
              <w:rPr>
                <w:b/>
              </w:rPr>
            </w:pPr>
            <w:r w:rsidRPr="00B22F51">
              <w:rPr>
                <w:b/>
              </w:rPr>
              <w:t>Name</w:t>
            </w:r>
          </w:p>
        </w:tc>
        <w:tc>
          <w:tcPr>
            <w:tcW w:w="4675" w:type="dxa"/>
          </w:tcPr>
          <w:p w:rsidR="00847AC9" w:rsidRPr="00B22F51" w:rsidRDefault="00847AC9" w:rsidP="00DA5B9D">
            <w:pPr>
              <w:rPr>
                <w:b/>
              </w:rPr>
            </w:pPr>
            <w:r w:rsidRPr="00B22F51">
              <w:rPr>
                <w:b/>
              </w:rPr>
              <w:t>Title and Affiliation</w:t>
            </w:r>
          </w:p>
        </w:tc>
      </w:tr>
      <w:tr w:rsidR="00847AC9" w:rsidTr="00E564F8">
        <w:trPr>
          <w:trHeight w:val="288"/>
          <w:jc w:val="center"/>
        </w:trPr>
        <w:tc>
          <w:tcPr>
            <w:tcW w:w="2515" w:type="dxa"/>
          </w:tcPr>
          <w:p w:rsidR="00847AC9" w:rsidRPr="00123532" w:rsidRDefault="00232444" w:rsidP="00DA5B9D">
            <w:r>
              <w:t xml:space="preserve">Scott Powell </w:t>
            </w:r>
          </w:p>
        </w:tc>
        <w:tc>
          <w:tcPr>
            <w:tcW w:w="4675" w:type="dxa"/>
          </w:tcPr>
          <w:p w:rsidR="00847AC9" w:rsidRDefault="00232444" w:rsidP="00DA5B9D">
            <w:r>
              <w:t>Biological Science Technician, Redwood Nat’l Park</w:t>
            </w:r>
          </w:p>
        </w:tc>
      </w:tr>
      <w:tr w:rsidR="00232444" w:rsidTr="00E564F8">
        <w:trPr>
          <w:trHeight w:val="288"/>
          <w:jc w:val="center"/>
        </w:trPr>
        <w:tc>
          <w:tcPr>
            <w:tcW w:w="2515" w:type="dxa"/>
          </w:tcPr>
          <w:p w:rsidR="00232444" w:rsidRPr="00123532" w:rsidRDefault="00232444" w:rsidP="00DA5B9D"/>
        </w:tc>
        <w:tc>
          <w:tcPr>
            <w:tcW w:w="4675" w:type="dxa"/>
          </w:tcPr>
          <w:p w:rsidR="00232444" w:rsidRDefault="00232444" w:rsidP="00DA5B9D"/>
        </w:tc>
      </w:tr>
    </w:tbl>
    <w:p w:rsidR="00847AC9" w:rsidRPr="00DA5B9D" w:rsidRDefault="00847AC9" w:rsidP="00847AC9">
      <w:pPr>
        <w:pStyle w:val="Footer"/>
        <w:rPr>
          <w:sz w:val="12"/>
        </w:rPr>
      </w:pPr>
    </w:p>
    <w:p w:rsidR="00847AC9" w:rsidRDefault="00847AC9" w:rsidP="00DA5B9D">
      <w:pPr>
        <w:spacing w:after="0" w:line="240" w:lineRule="auto"/>
        <w:rPr>
          <w:b/>
        </w:rPr>
      </w:pPr>
      <w:r w:rsidRPr="0093473F">
        <w:rPr>
          <w:b/>
        </w:rPr>
        <w:t xml:space="preserve">Is this proposal a continuation of a project previously funded by Save the Redwoods League? </w:t>
      </w:r>
    </w:p>
    <w:tbl>
      <w:tblPr>
        <w:tblStyle w:val="TableGrid"/>
        <w:tblW w:w="0" w:type="auto"/>
        <w:tblInd w:w="-5" w:type="dxa"/>
        <w:tblLook w:val="04A0" w:firstRow="1" w:lastRow="0" w:firstColumn="1" w:lastColumn="0" w:noHBand="0" w:noVBand="1"/>
      </w:tblPr>
      <w:tblGrid>
        <w:gridCol w:w="1435"/>
        <w:gridCol w:w="7835"/>
      </w:tblGrid>
      <w:tr w:rsidR="00847AC9" w:rsidTr="00712127">
        <w:tc>
          <w:tcPr>
            <w:tcW w:w="1435" w:type="dxa"/>
            <w:vMerge w:val="restart"/>
          </w:tcPr>
          <w:p w:rsidR="00847AC9" w:rsidRPr="00847AC9" w:rsidRDefault="00D63AB4" w:rsidP="00DA5B9D">
            <w:sdt>
              <w:sdtPr>
                <w:id w:val="1602986032"/>
                <w14:checkbox>
                  <w14:checked w14:val="1"/>
                  <w14:checkedState w14:val="2612" w14:font="MS Gothic"/>
                  <w14:uncheckedState w14:val="2610" w14:font="MS Gothic"/>
                </w14:checkbox>
              </w:sdtPr>
              <w:sdtEndPr/>
              <w:sdtContent>
                <w:r w:rsidR="006A0B9F">
                  <w:rPr>
                    <w:rFonts w:ascii="MS Gothic" w:eastAsia="MS Gothic" w:hAnsi="MS Gothic" w:hint="eastAsia"/>
                  </w:rPr>
                  <w:t>☒</w:t>
                </w:r>
              </w:sdtContent>
            </w:sdt>
            <w:r w:rsidR="00847AC9">
              <w:t xml:space="preserve">  No </w:t>
            </w:r>
            <w:sdt>
              <w:sdtPr>
                <w:id w:val="-1432729374"/>
                <w14:checkbox>
                  <w14:checked w14:val="0"/>
                  <w14:checkedState w14:val="2612" w14:font="MS Gothic"/>
                  <w14:uncheckedState w14:val="2610" w14:font="MS Gothic"/>
                </w14:checkbox>
              </w:sdtPr>
              <w:sdtEndPr/>
              <w:sdtContent>
                <w:r w:rsidR="00847AC9">
                  <w:rPr>
                    <w:rFonts w:ascii="MS Gothic" w:eastAsia="MS Gothic" w:hAnsi="MS Gothic" w:hint="eastAsia"/>
                  </w:rPr>
                  <w:t>☐</w:t>
                </w:r>
              </w:sdtContent>
            </w:sdt>
            <w:r w:rsidR="00847AC9">
              <w:t xml:space="preserve"> Yes</w:t>
            </w:r>
          </w:p>
        </w:tc>
        <w:tc>
          <w:tcPr>
            <w:tcW w:w="7835" w:type="dxa"/>
          </w:tcPr>
          <w:p w:rsidR="00847AC9" w:rsidRPr="00847AC9" w:rsidRDefault="00847AC9" w:rsidP="00DA5B9D">
            <w:r w:rsidRPr="00847AC9">
              <w:t>If yes</w:t>
            </w:r>
            <w:r>
              <w:t>, please list grant # and title:</w:t>
            </w:r>
          </w:p>
        </w:tc>
      </w:tr>
      <w:tr w:rsidR="00847AC9" w:rsidTr="00712127">
        <w:tc>
          <w:tcPr>
            <w:tcW w:w="1435" w:type="dxa"/>
            <w:vMerge/>
          </w:tcPr>
          <w:p w:rsidR="00847AC9" w:rsidRDefault="00847AC9" w:rsidP="00DA5B9D"/>
        </w:tc>
        <w:tc>
          <w:tcPr>
            <w:tcW w:w="7835" w:type="dxa"/>
          </w:tcPr>
          <w:p w:rsidR="00847AC9" w:rsidRDefault="00847AC9" w:rsidP="00DA5B9D"/>
          <w:p w:rsidR="00847AC9" w:rsidRPr="00847AC9" w:rsidRDefault="00847AC9" w:rsidP="00DA5B9D"/>
        </w:tc>
      </w:tr>
    </w:tbl>
    <w:p w:rsidR="00E63E5D" w:rsidRPr="00BF0366" w:rsidRDefault="00156315" w:rsidP="00DA5B9D">
      <w:pPr>
        <w:pStyle w:val="ListParagraph"/>
        <w:numPr>
          <w:ilvl w:val="0"/>
          <w:numId w:val="1"/>
        </w:numPr>
        <w:spacing w:after="0" w:line="240" w:lineRule="auto"/>
        <w:ind w:left="450" w:hanging="450"/>
        <w:rPr>
          <w:smallCaps/>
          <w:sz w:val="24"/>
        </w:rPr>
      </w:pPr>
      <w:r>
        <w:rPr>
          <w:smallCaps/>
          <w:sz w:val="24"/>
        </w:rPr>
        <w:lastRenderedPageBreak/>
        <w:t>Research questions</w:t>
      </w:r>
    </w:p>
    <w:p w:rsidR="00102C29" w:rsidRPr="00102C29" w:rsidRDefault="00102C29" w:rsidP="00102C29">
      <w:pPr>
        <w:pStyle w:val="ListParagraph"/>
        <w:numPr>
          <w:ilvl w:val="0"/>
          <w:numId w:val="5"/>
        </w:numPr>
        <w:spacing w:line="240" w:lineRule="auto"/>
        <w:rPr>
          <w:i/>
        </w:rPr>
      </w:pPr>
      <w:r>
        <w:t xml:space="preserve">How do different late-stage restoration thinning treatments modify stand structure and structural </w:t>
      </w:r>
      <w:r w:rsidR="00B17DED">
        <w:t>complexity</w:t>
      </w:r>
      <w:r>
        <w:t xml:space="preserve"> when compared against </w:t>
      </w:r>
      <w:proofErr w:type="spellStart"/>
      <w:r>
        <w:t>unthinned</w:t>
      </w:r>
      <w:proofErr w:type="spellEnd"/>
      <w:r>
        <w:t xml:space="preserve"> plots in a replicated experiment, and how does this change over time?  </w:t>
      </w:r>
    </w:p>
    <w:p w:rsidR="00102C29" w:rsidRPr="00102C29" w:rsidRDefault="00102C29" w:rsidP="00102C29">
      <w:pPr>
        <w:pStyle w:val="ListParagraph"/>
        <w:numPr>
          <w:ilvl w:val="0"/>
          <w:numId w:val="5"/>
        </w:numPr>
        <w:rPr>
          <w:i/>
        </w:rPr>
      </w:pPr>
      <w:r>
        <w:t xml:space="preserve">How do these different restoration thinning treatments alter tree growth, species composition, understory vegetation, tree regeneration, and bear damage, and how do these ecosystem attributes change over time?  </w:t>
      </w:r>
    </w:p>
    <w:p w:rsidR="00847AC9" w:rsidRPr="00847AC9" w:rsidRDefault="00847AC9" w:rsidP="00847AC9">
      <w:pPr>
        <w:pStyle w:val="ListParagraph"/>
        <w:spacing w:after="0" w:line="240" w:lineRule="auto"/>
        <w:ind w:left="1080"/>
        <w:rPr>
          <w:smallCaps/>
        </w:rPr>
      </w:pPr>
    </w:p>
    <w:p w:rsidR="00E63E5D" w:rsidRDefault="001B191D" w:rsidP="00DA5B9D">
      <w:pPr>
        <w:pStyle w:val="ListParagraph"/>
        <w:numPr>
          <w:ilvl w:val="0"/>
          <w:numId w:val="1"/>
        </w:numPr>
        <w:spacing w:after="0" w:line="240" w:lineRule="auto"/>
        <w:ind w:left="450" w:hanging="450"/>
        <w:rPr>
          <w:smallCaps/>
          <w:sz w:val="24"/>
        </w:rPr>
      </w:pPr>
      <w:r>
        <w:rPr>
          <w:smallCaps/>
          <w:sz w:val="24"/>
        </w:rPr>
        <w:t>Purpose and Need</w:t>
      </w:r>
    </w:p>
    <w:p w:rsidR="00102C29" w:rsidRDefault="00102C29" w:rsidP="00102C29">
      <w:pPr>
        <w:autoSpaceDE w:val="0"/>
        <w:autoSpaceDN w:val="0"/>
        <w:adjustRightInd w:val="0"/>
        <w:spacing w:line="240" w:lineRule="auto"/>
        <w:ind w:left="450" w:firstLine="270"/>
      </w:pPr>
      <w:r w:rsidRPr="00102C29">
        <w:rPr>
          <w:smallCaps/>
          <w:sz w:val="24"/>
        </w:rPr>
        <w:t>R</w:t>
      </w:r>
      <w:r>
        <w:t>estoration thinning has been studied, but knowledge gaps remain</w:t>
      </w:r>
      <w:r w:rsidR="009F73B9">
        <w:t xml:space="preserve">: </w:t>
      </w:r>
      <w:r>
        <w:t xml:space="preserve">how </w:t>
      </w:r>
      <w:r w:rsidR="009F73B9">
        <w:t xml:space="preserve">do </w:t>
      </w:r>
      <w:r>
        <w:t xml:space="preserve">alternate thinning methods </w:t>
      </w:r>
      <w:r w:rsidR="005C60AC">
        <w:t>influence</w:t>
      </w:r>
      <w:r w:rsidR="00F2596F">
        <w:t xml:space="preserve"> structural diversity and </w:t>
      </w:r>
      <w:r w:rsidR="005C60AC">
        <w:t xml:space="preserve">various </w:t>
      </w:r>
      <w:r w:rsidR="00B61C2E">
        <w:t xml:space="preserve">other </w:t>
      </w:r>
      <w:r w:rsidR="00F2596F">
        <w:t>ecosystem attributes? Specifically, how do</w:t>
      </w:r>
      <w:r w:rsidR="009E4CB0">
        <w:t xml:space="preserve"> different thinning methods </w:t>
      </w:r>
      <w:r>
        <w:t>(i.e., crown thinning versus low thinning), by virtue of removing and retaining different numbers of trees and tree size assortments, alter the structure</w:t>
      </w:r>
      <w:r w:rsidR="005C60AC">
        <w:t>, composition,</w:t>
      </w:r>
      <w:r>
        <w:t xml:space="preserve"> and development of redwood stands. Another gap in our knowledge relates to ecosystem responses when thinning must be applied in stands of advanced ages (i.e., &gt;25 years old) following long periods of competition and suppression of redwood. Finally, repeat-measures data from replicated experiments showing initial responses </w:t>
      </w:r>
      <w:r w:rsidR="00A53405">
        <w:t xml:space="preserve">to thinning </w:t>
      </w:r>
      <w:r>
        <w:t xml:space="preserve">and later changes has not been available for restoration thinning in older stands, until now.   </w:t>
      </w:r>
    </w:p>
    <w:p w:rsidR="002341F2" w:rsidRPr="009B05D2" w:rsidRDefault="00102C29" w:rsidP="002341F2">
      <w:pPr>
        <w:autoSpaceDE w:val="0"/>
        <w:autoSpaceDN w:val="0"/>
        <w:adjustRightInd w:val="0"/>
        <w:spacing w:after="120" w:line="240" w:lineRule="auto"/>
        <w:ind w:left="450"/>
      </w:pPr>
      <w:r>
        <w:t xml:space="preserve">Forest managers of the National and State Parks in the redwood region are charged with managing thousands of acres of second-growth forests, many of which are overstocked and contain disproportionately high densities of Douglas-fir. Management objectives on these public lands are focused on creating late-successional forest structures. Thus, methods of enhancing late-successional forest structure have become an important area of research, with </w:t>
      </w:r>
      <w:r w:rsidR="00E14AF2">
        <w:t>field experiments</w:t>
      </w:r>
      <w:r>
        <w:t xml:space="preserve"> being established using a variety of thinning methods. Early results in young stands (&lt;25 years old) show</w:t>
      </w:r>
      <w:r w:rsidR="00465F35">
        <w:t xml:space="preserve"> how</w:t>
      </w:r>
      <w:r>
        <w:t xml:space="preserve"> </w:t>
      </w:r>
      <w:r w:rsidR="00296A33">
        <w:t xml:space="preserve">variable-density </w:t>
      </w:r>
      <w:r>
        <w:t xml:space="preserve">thinning </w:t>
      </w:r>
      <w:r w:rsidR="00465F35">
        <w:t>enhances</w:t>
      </w:r>
      <w:r>
        <w:t xml:space="preserve"> tree growth and promote</w:t>
      </w:r>
      <w:r w:rsidR="00465F35">
        <w:t>s</w:t>
      </w:r>
      <w:r>
        <w:t xml:space="preserve"> </w:t>
      </w:r>
      <w:r w:rsidR="00E14AF2">
        <w:t>development</w:t>
      </w:r>
      <w:r>
        <w:t xml:space="preserve"> of some late-successional stand attributes (O’Hara et al. 2012, Dagley et al. 2018). Most other thinning studies have focused on </w:t>
      </w:r>
      <w:r w:rsidR="00296A33">
        <w:t xml:space="preserve">thinning-from-below (low thinning) to different densities, </w:t>
      </w:r>
      <w:r w:rsidR="000D2AAE">
        <w:t>usually practiced</w:t>
      </w:r>
      <w:r w:rsidR="00296A33">
        <w:t xml:space="preserve"> </w:t>
      </w:r>
      <w:r>
        <w:t>for timber production objectives</w:t>
      </w:r>
      <w:r w:rsidR="00296A33">
        <w:t xml:space="preserve"> </w:t>
      </w:r>
      <w:r w:rsidRPr="009B05D2">
        <w:t>(</w:t>
      </w:r>
      <w:proofErr w:type="spellStart"/>
      <w:r w:rsidRPr="009B05D2">
        <w:t>Chittick</w:t>
      </w:r>
      <w:proofErr w:type="spellEnd"/>
      <w:r w:rsidRPr="009B05D2">
        <w:t xml:space="preserve"> </w:t>
      </w:r>
      <w:r>
        <w:t>&amp;</w:t>
      </w:r>
      <w:r w:rsidRPr="009B05D2">
        <w:t xml:space="preserve"> Keyes 2007, Oliver et al. 1994, O’Hara et al. 2015; Webb et al. 2017). </w:t>
      </w:r>
      <w:r w:rsidR="002341F2" w:rsidRPr="009B05D2">
        <w:t>In the proposed study, we will analyze</w:t>
      </w:r>
      <w:r w:rsidR="002341F2">
        <w:t xml:space="preserve"> multiple ecosystem response variables</w:t>
      </w:r>
      <w:r w:rsidR="002341F2" w:rsidRPr="009B05D2">
        <w:t xml:space="preserve"> after</w:t>
      </w:r>
      <w:r w:rsidR="002341F2">
        <w:t xml:space="preserve"> two intensities of low thinning and crown thinning in an older stand</w:t>
      </w:r>
      <w:r w:rsidR="00E14AF2">
        <w:t xml:space="preserve">. </w:t>
      </w:r>
      <w:proofErr w:type="spellStart"/>
      <w:r w:rsidR="00296A33">
        <w:t>Having</w:t>
      </w:r>
      <w:r w:rsidR="002341F2">
        <w:t>low</w:t>
      </w:r>
      <w:proofErr w:type="spellEnd"/>
      <w:r w:rsidR="002341F2">
        <w:t xml:space="preserve"> thinning </w:t>
      </w:r>
      <w:r w:rsidR="00E14AF2">
        <w:t xml:space="preserve">treatments </w:t>
      </w:r>
      <w:r w:rsidR="002341F2">
        <w:t xml:space="preserve">will allow for </w:t>
      </w:r>
      <w:r w:rsidR="00BA7EEB">
        <w:t xml:space="preserve">direct </w:t>
      </w:r>
      <w:r w:rsidR="002341F2">
        <w:t xml:space="preserve">comparison </w:t>
      </w:r>
      <w:r w:rsidR="00E14AF2">
        <w:t xml:space="preserve">of our results </w:t>
      </w:r>
      <w:r w:rsidR="002341F2">
        <w:t xml:space="preserve">with </w:t>
      </w:r>
      <w:r w:rsidR="00E14AF2">
        <w:t xml:space="preserve">published </w:t>
      </w:r>
      <w:r w:rsidR="002341F2">
        <w:t>studies</w:t>
      </w:r>
      <w:r w:rsidR="000D2AAE">
        <w:t xml:space="preserve">. </w:t>
      </w:r>
      <w:r w:rsidR="00FB0732">
        <w:t xml:space="preserve">Low thinning will also be compared against </w:t>
      </w:r>
      <w:r w:rsidR="009001A6">
        <w:t>the efficient, restoration-focused c</w:t>
      </w:r>
      <w:r w:rsidR="00600AA9">
        <w:t>rown thinning</w:t>
      </w:r>
      <w:r w:rsidR="009001A6">
        <w:t xml:space="preserve"> method</w:t>
      </w:r>
      <w:r w:rsidR="00FB0732">
        <w:t xml:space="preserve"> which </w:t>
      </w:r>
      <w:r w:rsidR="00B314BD">
        <w:t xml:space="preserve">instantly </w:t>
      </w:r>
      <w:r w:rsidR="00D21B0A">
        <w:t>enhance</w:t>
      </w:r>
      <w:r w:rsidR="00B314BD">
        <w:t>s</w:t>
      </w:r>
      <w:r w:rsidR="00D21B0A">
        <w:t xml:space="preserve"> structural diversity via</w:t>
      </w:r>
      <w:r w:rsidR="00600AA9">
        <w:t xml:space="preserve"> removal of </w:t>
      </w:r>
      <w:r w:rsidR="000D2AAE">
        <w:t xml:space="preserve">unwanted </w:t>
      </w:r>
      <w:r w:rsidR="00600AA9">
        <w:t>mid-sized trees to</w:t>
      </w:r>
      <w:r w:rsidR="000D2AAE">
        <w:t xml:space="preserve"> release</w:t>
      </w:r>
      <w:r w:rsidR="00600AA9">
        <w:t xml:space="preserve"> larger </w:t>
      </w:r>
      <w:r w:rsidR="009001A6">
        <w:t xml:space="preserve">trees </w:t>
      </w:r>
      <w:r w:rsidR="00600AA9">
        <w:t>and smaller trees</w:t>
      </w:r>
      <w:r w:rsidR="009001A6">
        <w:t xml:space="preserve"> of desired species.</w:t>
      </w:r>
      <w:r w:rsidR="00600AA9">
        <w:t xml:space="preserve">  </w:t>
      </w:r>
    </w:p>
    <w:p w:rsidR="002341F2" w:rsidRDefault="007739A3" w:rsidP="00102C29">
      <w:pPr>
        <w:autoSpaceDE w:val="0"/>
        <w:autoSpaceDN w:val="0"/>
        <w:adjustRightInd w:val="0"/>
        <w:spacing w:after="120" w:line="240" w:lineRule="auto"/>
        <w:ind w:left="450"/>
      </w:pPr>
      <w:r>
        <w:t>The ability to quantitatively describe forest structure</w:t>
      </w:r>
      <w:r w:rsidR="004636EA">
        <w:t>s</w:t>
      </w:r>
      <w:r>
        <w:t xml:space="preserve"> and their modifications from forest management activities is </w:t>
      </w:r>
      <w:r w:rsidR="00A41CD8">
        <w:t xml:space="preserve">central to </w:t>
      </w:r>
      <w:r>
        <w:t xml:space="preserve">sustainable management of complex forest ecosystems. </w:t>
      </w:r>
      <w:r w:rsidR="00A41CD8">
        <w:t xml:space="preserve">For this purpose, </w:t>
      </w:r>
      <w:r w:rsidR="00F822B3">
        <w:t xml:space="preserve">forest </w:t>
      </w:r>
      <w:r w:rsidR="00A41CD8">
        <w:t>managers are in need of measures that describe</w:t>
      </w:r>
      <w:r w:rsidR="004636EA">
        <w:t xml:space="preserve"> more completely</w:t>
      </w:r>
      <w:r w:rsidR="00A41CD8">
        <w:t xml:space="preserve"> the structure and </w:t>
      </w:r>
      <w:r w:rsidR="00B17DED">
        <w:t>complexity</w:t>
      </w:r>
      <w:r w:rsidR="00A41CD8">
        <w:t xml:space="preserve"> </w:t>
      </w:r>
      <w:r w:rsidR="004636EA">
        <w:t xml:space="preserve">to </w:t>
      </w:r>
      <w:r w:rsidR="002341F2">
        <w:t>complement the conventional variables such as</w:t>
      </w:r>
      <w:r w:rsidR="004636EA">
        <w:t xml:space="preserve"> the distribution of</w:t>
      </w:r>
      <w:r w:rsidR="002341F2">
        <w:t xml:space="preserve"> </w:t>
      </w:r>
      <w:proofErr w:type="spellStart"/>
      <w:r w:rsidR="002341F2">
        <w:t>dbh</w:t>
      </w:r>
      <w:proofErr w:type="spellEnd"/>
      <w:r w:rsidR="002341F2">
        <w:t>, height, and basal area</w:t>
      </w:r>
      <w:r w:rsidR="004636EA">
        <w:t xml:space="preserve"> by size class</w:t>
      </w:r>
      <w:r w:rsidR="002341F2">
        <w:t xml:space="preserve">. This is especially important because different thinning methods </w:t>
      </w:r>
      <w:r w:rsidR="00A83696">
        <w:t xml:space="preserve">can </w:t>
      </w:r>
      <w:r w:rsidR="004636EA">
        <w:t>reduce or enhance variability</w:t>
      </w:r>
      <w:r w:rsidR="00A83696">
        <w:t xml:space="preserve"> in tree diameter, canopy stratification, </w:t>
      </w:r>
      <w:r w:rsidR="009753A9">
        <w:t xml:space="preserve">change </w:t>
      </w:r>
      <w:r w:rsidR="00A83696">
        <w:t>species composition</w:t>
      </w:r>
      <w:r w:rsidR="00334B20">
        <w:t xml:space="preserve">, and modify </w:t>
      </w:r>
      <w:r w:rsidR="004636EA">
        <w:t xml:space="preserve">the </w:t>
      </w:r>
      <w:r w:rsidR="00334B20">
        <w:t>arrangement</w:t>
      </w:r>
      <w:r w:rsidR="004636EA">
        <w:t xml:space="preserve"> or trees and tree crowns in 3D space</w:t>
      </w:r>
      <w:r w:rsidR="00334B20">
        <w:t xml:space="preserve">. These changes </w:t>
      </w:r>
      <w:r w:rsidR="005930E1">
        <w:t xml:space="preserve">in </w:t>
      </w:r>
      <w:r w:rsidR="00334B20">
        <w:t xml:space="preserve">forest structure </w:t>
      </w:r>
      <w:r w:rsidR="005930E1">
        <w:t>may or may not be desirable in meeting restoration objective</w:t>
      </w:r>
      <w:r w:rsidR="006300AA">
        <w:t>s</w:t>
      </w:r>
      <w:r w:rsidR="004636EA">
        <w:t>, now and into the future</w:t>
      </w:r>
      <w:r w:rsidR="002341F2">
        <w:t xml:space="preserve">. In this study, we will </w:t>
      </w:r>
      <w:r w:rsidR="00A24C00">
        <w:t xml:space="preserve">quantitatively </w:t>
      </w:r>
      <w:r w:rsidR="002341F2">
        <w:t xml:space="preserve">characterize the horizontal and vertical structure, and </w:t>
      </w:r>
      <w:r w:rsidR="004636EA">
        <w:t>quantify</w:t>
      </w:r>
      <w:r w:rsidR="00E564F8">
        <w:t xml:space="preserve"> </w:t>
      </w:r>
      <w:r w:rsidR="004636EA">
        <w:t xml:space="preserve">multiple </w:t>
      </w:r>
      <w:r w:rsidR="002341F2">
        <w:t>dimension</w:t>
      </w:r>
      <w:r w:rsidR="004636EA">
        <w:t>s</w:t>
      </w:r>
      <w:r w:rsidR="002341F2">
        <w:t xml:space="preserve"> </w:t>
      </w:r>
      <w:r w:rsidR="004636EA">
        <w:t xml:space="preserve">of </w:t>
      </w:r>
      <w:r w:rsidR="002341F2">
        <w:t xml:space="preserve">diversity </w:t>
      </w:r>
      <w:r w:rsidR="004636EA">
        <w:t>resulting from different experimental restoration thinning treatments</w:t>
      </w:r>
      <w:r w:rsidR="00F822B3">
        <w:t xml:space="preserve">. </w:t>
      </w:r>
    </w:p>
    <w:p w:rsidR="00102C29" w:rsidRDefault="00102C29" w:rsidP="00102C29">
      <w:pPr>
        <w:shd w:val="clear" w:color="auto" w:fill="FFFFFF"/>
        <w:tabs>
          <w:tab w:val="left" w:pos="450"/>
        </w:tabs>
        <w:spacing w:after="0" w:line="240" w:lineRule="auto"/>
        <w:ind w:left="450"/>
      </w:pPr>
      <w:r>
        <w:lastRenderedPageBreak/>
        <w:t xml:space="preserve">Thinning to achieve restoration objectives has led to increased bear damage by promoting faster tree growth (O’Hara et al. 2010, Perry et al. 2016, </w:t>
      </w:r>
      <w:proofErr w:type="gramStart"/>
      <w:r>
        <w:t>Dagley</w:t>
      </w:r>
      <w:proofErr w:type="gramEnd"/>
      <w:r>
        <w:t xml:space="preserve"> et al. 2018). Bears strip off large pieces of bark and eat the inner bark, phloem, cambium, and outer sapwood, wounding all or part of a stem’s circumference. Damage to trees typically occurs in the spring and is often concentrated near logging roads, skid trails or other openings (</w:t>
      </w:r>
      <w:proofErr w:type="spellStart"/>
      <w:r>
        <w:t>Giusti</w:t>
      </w:r>
      <w:proofErr w:type="spellEnd"/>
      <w:r>
        <w:t xml:space="preserve"> 1988; Perry et al. 2016). Damage is often concentrated on the more vigorous trees (Kimball et al. 2008; Berrill et al. 2017, Dagley et al. 2018) and thought to occur in younger stands soon after thinning has occurred</w:t>
      </w:r>
      <w:r w:rsidRPr="00696B08">
        <w:t xml:space="preserve"> </w:t>
      </w:r>
      <w:r>
        <w:t>(</w:t>
      </w:r>
      <w:proofErr w:type="spellStart"/>
      <w:r w:rsidRPr="00C56C78">
        <w:t>Hosack</w:t>
      </w:r>
      <w:proofErr w:type="spellEnd"/>
      <w:r w:rsidRPr="00C56C78">
        <w:t xml:space="preserve"> </w:t>
      </w:r>
      <w:r>
        <w:t xml:space="preserve">&amp; </w:t>
      </w:r>
      <w:proofErr w:type="spellStart"/>
      <w:r w:rsidRPr="00C56C78">
        <w:t>Fulgham</w:t>
      </w:r>
      <w:proofErr w:type="spellEnd"/>
      <w:r w:rsidRPr="00C56C78">
        <w:t xml:space="preserve"> 1998</w:t>
      </w:r>
      <w:r>
        <w:t xml:space="preserve">). Recommendations from these studies have included testing postponement of thinning until trees are </w:t>
      </w:r>
      <w:proofErr w:type="gramStart"/>
      <w:r>
        <w:t>older/larger</w:t>
      </w:r>
      <w:proofErr w:type="gramEnd"/>
      <w:r>
        <w:t>, but it is unknown whether bears are less likely to damage older trees. In the proposed study, bear damage in stands thinned at 40-years of age</w:t>
      </w:r>
      <w:r w:rsidRPr="00696B08">
        <w:t xml:space="preserve"> </w:t>
      </w:r>
      <w:r w:rsidR="00FB0732">
        <w:t xml:space="preserve">has been recorded and </w:t>
      </w:r>
      <w:r>
        <w:t xml:space="preserve">will be analyzed.   </w:t>
      </w:r>
    </w:p>
    <w:p w:rsidR="000B6D46" w:rsidRPr="000B6D46" w:rsidRDefault="000B6D46" w:rsidP="00102C29">
      <w:pPr>
        <w:pStyle w:val="ListParagraph"/>
        <w:spacing w:after="0" w:line="240" w:lineRule="auto"/>
        <w:ind w:left="450"/>
      </w:pPr>
    </w:p>
    <w:p w:rsidR="00156315" w:rsidRDefault="00156315" w:rsidP="00DA5B9D">
      <w:pPr>
        <w:pStyle w:val="ListParagraph"/>
        <w:numPr>
          <w:ilvl w:val="0"/>
          <w:numId w:val="1"/>
        </w:numPr>
        <w:spacing w:after="0" w:line="240" w:lineRule="auto"/>
        <w:ind w:left="450" w:hanging="450"/>
        <w:rPr>
          <w:smallCaps/>
          <w:sz w:val="24"/>
        </w:rPr>
      </w:pPr>
      <w:r>
        <w:rPr>
          <w:smallCaps/>
          <w:sz w:val="24"/>
        </w:rPr>
        <w:t>Methods</w:t>
      </w:r>
    </w:p>
    <w:p w:rsidR="00102C29" w:rsidRDefault="00102C29" w:rsidP="00102C29">
      <w:pPr>
        <w:tabs>
          <w:tab w:val="left" w:pos="450"/>
        </w:tabs>
        <w:autoSpaceDE w:val="0"/>
        <w:autoSpaceDN w:val="0"/>
        <w:adjustRightInd w:val="0"/>
        <w:spacing w:line="240" w:lineRule="auto"/>
        <w:ind w:left="450" w:firstLine="270"/>
        <w:rPr>
          <w:rFonts w:eastAsia="Times New Roman" w:cs="Times New Roman"/>
        </w:rPr>
      </w:pPr>
      <w:r w:rsidRPr="00102C29">
        <w:rPr>
          <w:rFonts w:eastAsia="Times New Roman" w:cs="Times New Roman"/>
        </w:rPr>
        <w:t xml:space="preserve">The A-972 study area is located within Redwood National Park approximately 4 km south of </w:t>
      </w:r>
      <w:proofErr w:type="spellStart"/>
      <w:r w:rsidRPr="00102C29">
        <w:rPr>
          <w:rFonts w:eastAsia="Times New Roman" w:cs="Times New Roman"/>
        </w:rPr>
        <w:t>Orick</w:t>
      </w:r>
      <w:proofErr w:type="spellEnd"/>
      <w:r w:rsidRPr="00102C29">
        <w:rPr>
          <w:rFonts w:eastAsia="Times New Roman" w:cs="Times New Roman"/>
        </w:rPr>
        <w:t>, CA and 2 km from the Pacific Ocean</w:t>
      </w:r>
      <w:r w:rsidR="009325D4">
        <w:rPr>
          <w:rFonts w:eastAsia="Times New Roman" w:cs="Times New Roman"/>
        </w:rPr>
        <w:t xml:space="preserve"> (Figure 1)</w:t>
      </w:r>
      <w:r w:rsidRPr="00102C29">
        <w:rPr>
          <w:rFonts w:eastAsia="Times New Roman" w:cs="Times New Roman"/>
        </w:rPr>
        <w:t xml:space="preserve">. The stand was </w:t>
      </w:r>
      <w:proofErr w:type="spellStart"/>
      <w:r w:rsidRPr="00102C29">
        <w:rPr>
          <w:rFonts w:eastAsia="Times New Roman" w:cs="Times New Roman"/>
        </w:rPr>
        <w:t>clearcut</w:t>
      </w:r>
      <w:proofErr w:type="spellEnd"/>
      <w:r w:rsidRPr="00102C29">
        <w:rPr>
          <w:rFonts w:eastAsia="Times New Roman" w:cs="Times New Roman"/>
        </w:rPr>
        <w:t xml:space="preserve"> in 1968 (prior to park acquisition), followed by broadcast burning and aerial seeding. The regenerating second-growth stand comprised Douglas-fir, redwood, Sitka spruce </w:t>
      </w:r>
      <w:r w:rsidRPr="00102C29">
        <w:rPr>
          <w:rFonts w:eastAsia="Arial" w:cs="Times New Roman"/>
          <w:lang w:eastAsia="ar-SA"/>
        </w:rPr>
        <w:t>(</w:t>
      </w:r>
      <w:proofErr w:type="spellStart"/>
      <w:r w:rsidRPr="00102C29">
        <w:rPr>
          <w:rFonts w:eastAsia="Arial" w:cs="Times New Roman"/>
          <w:i/>
          <w:iCs/>
          <w:lang w:eastAsia="ar-SA"/>
        </w:rPr>
        <w:t>Picea</w:t>
      </w:r>
      <w:proofErr w:type="spellEnd"/>
      <w:r w:rsidRPr="00102C29">
        <w:rPr>
          <w:rFonts w:eastAsia="Arial" w:cs="Times New Roman"/>
          <w:i/>
          <w:iCs/>
          <w:lang w:eastAsia="ar-SA"/>
        </w:rPr>
        <w:t xml:space="preserve"> </w:t>
      </w:r>
      <w:proofErr w:type="spellStart"/>
      <w:r w:rsidRPr="00102C29">
        <w:rPr>
          <w:rFonts w:eastAsia="Arial" w:cs="Times New Roman"/>
          <w:i/>
          <w:iCs/>
          <w:lang w:eastAsia="ar-SA"/>
        </w:rPr>
        <w:t>sitchensis</w:t>
      </w:r>
      <w:proofErr w:type="spellEnd"/>
      <w:r w:rsidRPr="00102C29">
        <w:rPr>
          <w:rFonts w:cs="Times New Roman"/>
        </w:rPr>
        <w:t>), western hemlock (</w:t>
      </w:r>
      <w:proofErr w:type="spellStart"/>
      <w:r w:rsidRPr="00102C29">
        <w:rPr>
          <w:rFonts w:cs="Times New Roman"/>
          <w:i/>
          <w:iCs/>
        </w:rPr>
        <w:t>Tsuga</w:t>
      </w:r>
      <w:proofErr w:type="spellEnd"/>
      <w:r w:rsidRPr="00102C29">
        <w:rPr>
          <w:rFonts w:cs="Times New Roman"/>
          <w:i/>
          <w:iCs/>
        </w:rPr>
        <w:t xml:space="preserve"> </w:t>
      </w:r>
      <w:proofErr w:type="spellStart"/>
      <w:r w:rsidRPr="00102C29">
        <w:rPr>
          <w:rFonts w:cs="Times New Roman"/>
          <w:i/>
          <w:iCs/>
        </w:rPr>
        <w:t>heterophylla</w:t>
      </w:r>
      <w:proofErr w:type="spellEnd"/>
      <w:r w:rsidRPr="00102C29">
        <w:rPr>
          <w:rFonts w:cs="Times New Roman"/>
        </w:rPr>
        <w:t xml:space="preserve">), </w:t>
      </w:r>
      <w:r w:rsidRPr="00102C29">
        <w:rPr>
          <w:rFonts w:eastAsia="Times New Roman" w:cs="Times New Roman"/>
        </w:rPr>
        <w:t>and red alder (</w:t>
      </w:r>
      <w:proofErr w:type="spellStart"/>
      <w:r w:rsidRPr="00102C29">
        <w:rPr>
          <w:rFonts w:eastAsia="Times New Roman" w:cs="Times New Roman"/>
          <w:i/>
          <w:iCs/>
        </w:rPr>
        <w:t>Alnus</w:t>
      </w:r>
      <w:proofErr w:type="spellEnd"/>
      <w:r w:rsidRPr="00102C29">
        <w:rPr>
          <w:rFonts w:eastAsia="Times New Roman" w:cs="Times New Roman"/>
          <w:i/>
          <w:iCs/>
        </w:rPr>
        <w:t xml:space="preserve"> </w:t>
      </w:r>
      <w:proofErr w:type="spellStart"/>
      <w:r w:rsidRPr="00102C29">
        <w:rPr>
          <w:rFonts w:eastAsia="Times New Roman" w:cs="Times New Roman"/>
          <w:i/>
          <w:iCs/>
        </w:rPr>
        <w:t>rubra</w:t>
      </w:r>
      <w:proofErr w:type="spellEnd"/>
      <w:r w:rsidRPr="00102C29">
        <w:rPr>
          <w:rFonts w:eastAsia="Times New Roman" w:cs="Times New Roman"/>
        </w:rPr>
        <w:t xml:space="preserve">). Understory vegetation was nearly absent, but small pockets of ferns, </w:t>
      </w:r>
      <w:proofErr w:type="spellStart"/>
      <w:r w:rsidRPr="00102C29">
        <w:rPr>
          <w:rFonts w:eastAsia="Times New Roman" w:cs="Times New Roman"/>
        </w:rPr>
        <w:t>rubus</w:t>
      </w:r>
      <w:proofErr w:type="spellEnd"/>
      <w:r w:rsidRPr="00102C29">
        <w:rPr>
          <w:rFonts w:eastAsia="Times New Roman" w:cs="Times New Roman"/>
        </w:rPr>
        <w:t>, and ericaceous species occurred before treatment, in 2007, throughout the study site (</w:t>
      </w:r>
      <w:proofErr w:type="spellStart"/>
      <w:r w:rsidRPr="00102C29">
        <w:rPr>
          <w:rFonts w:eastAsia="Times New Roman" w:cs="Times New Roman"/>
        </w:rPr>
        <w:t>Teraoka</w:t>
      </w:r>
      <w:proofErr w:type="spellEnd"/>
      <w:r w:rsidRPr="00102C29">
        <w:rPr>
          <w:rFonts w:eastAsia="Times New Roman" w:cs="Times New Roman"/>
        </w:rPr>
        <w:t xml:space="preserve"> et al. 2017). </w:t>
      </w:r>
    </w:p>
    <w:p w:rsidR="009325D4" w:rsidRPr="00102C29" w:rsidRDefault="009325D4" w:rsidP="009325D4">
      <w:pPr>
        <w:tabs>
          <w:tab w:val="left" w:pos="450"/>
        </w:tabs>
        <w:autoSpaceDE w:val="0"/>
        <w:autoSpaceDN w:val="0"/>
        <w:adjustRightInd w:val="0"/>
        <w:spacing w:after="0" w:line="240" w:lineRule="auto"/>
        <w:ind w:left="450" w:firstLine="270"/>
        <w:rPr>
          <w:rFonts w:eastAsia="Times New Roman" w:cs="Times New Roman"/>
        </w:rPr>
      </w:pPr>
      <w:r>
        <w:rPr>
          <w:noProof/>
        </w:rPr>
        <w:drawing>
          <wp:inline distT="0" distB="0" distL="0" distR="0" wp14:anchorId="4F2CB4CE" wp14:editId="012128D1">
            <wp:extent cx="3355848" cy="438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72_20160831_symposium.png"/>
                    <pic:cNvPicPr/>
                  </pic:nvPicPr>
                  <pic:blipFill rotWithShape="1">
                    <a:blip r:embed="rId9">
                      <a:grayscl/>
                      <a:extLst>
                        <a:ext uri="{28A0092B-C50C-407E-A947-70E740481C1C}">
                          <a14:useLocalDpi xmlns:a14="http://schemas.microsoft.com/office/drawing/2010/main" val="0"/>
                        </a:ext>
                      </a:extLst>
                    </a:blip>
                    <a:srcRect l="2885" t="3219" r="3846" b="2543"/>
                    <a:stretch/>
                  </pic:blipFill>
                  <pic:spPr bwMode="auto">
                    <a:xfrm>
                      <a:off x="0" y="0"/>
                      <a:ext cx="3355848" cy="4389120"/>
                    </a:xfrm>
                    <a:prstGeom prst="rect">
                      <a:avLst/>
                    </a:prstGeom>
                    <a:ln>
                      <a:noFill/>
                    </a:ln>
                    <a:extLst>
                      <a:ext uri="{53640926-AAD7-44D8-BBD7-CCE9431645EC}">
                        <a14:shadowObscured xmlns:a14="http://schemas.microsoft.com/office/drawing/2010/main"/>
                      </a:ext>
                    </a:extLst>
                  </pic:spPr>
                </pic:pic>
              </a:graphicData>
            </a:graphic>
          </wp:inline>
        </w:drawing>
      </w:r>
    </w:p>
    <w:p w:rsidR="009325D4" w:rsidRPr="009325D4" w:rsidRDefault="009325D4" w:rsidP="009325D4">
      <w:pPr>
        <w:pStyle w:val="WW-Default"/>
        <w:ind w:left="450"/>
        <w:rPr>
          <w:rFonts w:asciiTheme="minorHAnsi" w:hAnsiTheme="minorHAnsi" w:cs="Arial"/>
          <w:sz w:val="20"/>
          <w:szCs w:val="20"/>
        </w:rPr>
      </w:pPr>
      <w:r w:rsidRPr="009325D4">
        <w:rPr>
          <w:rFonts w:asciiTheme="minorHAnsi" w:hAnsiTheme="minorHAnsi" w:cs="Arial"/>
          <w:sz w:val="20"/>
          <w:szCs w:val="20"/>
        </w:rPr>
        <w:t xml:space="preserve">Figure 1—Location map and arrangement of treatment units and plots in the </w:t>
      </w:r>
    </w:p>
    <w:p w:rsidR="009325D4" w:rsidRPr="009325D4" w:rsidRDefault="009325D4" w:rsidP="009325D4">
      <w:pPr>
        <w:pStyle w:val="WW-Default"/>
        <w:ind w:firstLine="450"/>
        <w:rPr>
          <w:rFonts w:asciiTheme="minorHAnsi" w:hAnsiTheme="minorHAnsi" w:cs="Arial"/>
          <w:sz w:val="20"/>
          <w:szCs w:val="20"/>
        </w:rPr>
      </w:pPr>
      <w:proofErr w:type="gramStart"/>
      <w:r w:rsidRPr="009325D4">
        <w:rPr>
          <w:rFonts w:asciiTheme="minorHAnsi" w:hAnsiTheme="minorHAnsi" w:cs="Arial"/>
          <w:sz w:val="20"/>
          <w:szCs w:val="20"/>
        </w:rPr>
        <w:t>A-972 Study Area.</w:t>
      </w:r>
      <w:proofErr w:type="gramEnd"/>
      <w:r w:rsidRPr="009325D4">
        <w:rPr>
          <w:rFonts w:asciiTheme="minorHAnsi" w:hAnsiTheme="minorHAnsi" w:cs="Arial"/>
          <w:sz w:val="20"/>
          <w:szCs w:val="20"/>
        </w:rPr>
        <w:t xml:space="preserve"> Circles within the square units represent 0.08-ha monitoring plots.</w:t>
      </w:r>
    </w:p>
    <w:p w:rsidR="009325D4" w:rsidRDefault="009325D4" w:rsidP="00102C29">
      <w:pPr>
        <w:autoSpaceDE w:val="0"/>
        <w:autoSpaceDN w:val="0"/>
        <w:adjustRightInd w:val="0"/>
        <w:spacing w:line="240" w:lineRule="auto"/>
        <w:ind w:left="450"/>
      </w:pPr>
    </w:p>
    <w:p w:rsidR="00102C29" w:rsidRDefault="00102C29" w:rsidP="00102C29">
      <w:pPr>
        <w:autoSpaceDE w:val="0"/>
        <w:autoSpaceDN w:val="0"/>
        <w:adjustRightInd w:val="0"/>
        <w:spacing w:line="240" w:lineRule="auto"/>
        <w:ind w:left="450"/>
      </w:pPr>
      <w:r w:rsidRPr="00666104">
        <w:t xml:space="preserve">In fall of 2007, 20 square </w:t>
      </w:r>
      <w:r w:rsidR="005F133B">
        <w:t xml:space="preserve">treatment </w:t>
      </w:r>
      <w:r w:rsidRPr="00666104">
        <w:t>units (0.25 ha) were established in the 40-year-old stand.</w:t>
      </w:r>
      <w:r w:rsidR="005F133B">
        <w:t xml:space="preserve"> </w:t>
      </w:r>
      <w:r w:rsidR="005F133B" w:rsidRPr="00666104">
        <w:t xml:space="preserve">Five treatments were randomly assigned and replicated four times: low and crown thinning with 80% retention of basal area, low and crown thinning with 45% retention of basal area, and an </w:t>
      </w:r>
      <w:proofErr w:type="spellStart"/>
      <w:r w:rsidR="005F133B" w:rsidRPr="00666104">
        <w:t>unthinned</w:t>
      </w:r>
      <w:proofErr w:type="spellEnd"/>
      <w:r w:rsidR="005F133B" w:rsidRPr="00666104">
        <w:t xml:space="preserve"> control. </w:t>
      </w:r>
      <w:r w:rsidR="004139B1">
        <w:t xml:space="preserve">Within each treatment unit a </w:t>
      </w:r>
      <w:r w:rsidR="004139B1" w:rsidRPr="00666104">
        <w:t xml:space="preserve">circular fixed-radius monitoring plot (0.08 ha) </w:t>
      </w:r>
      <w:r w:rsidR="004139B1">
        <w:t xml:space="preserve">was established </w:t>
      </w:r>
      <w:r w:rsidR="004139B1" w:rsidRPr="00666104">
        <w:t>at the center of each unit</w:t>
      </w:r>
      <w:r w:rsidR="004139B1">
        <w:t xml:space="preserve">. </w:t>
      </w:r>
      <w:r w:rsidRPr="00102C29">
        <w:rPr>
          <w:color w:val="000000" w:themeColor="text1"/>
        </w:rPr>
        <w:t>Species</w:t>
      </w:r>
      <w:r w:rsidR="005F133B">
        <w:rPr>
          <w:color w:val="000000" w:themeColor="text1"/>
        </w:rPr>
        <w:t xml:space="preserve">, tree location, </w:t>
      </w:r>
      <w:r w:rsidRPr="00102C29">
        <w:rPr>
          <w:color w:val="000000" w:themeColor="text1"/>
        </w:rPr>
        <w:t>diameter at breast height (</w:t>
      </w:r>
      <w:proofErr w:type="spellStart"/>
      <w:r w:rsidRPr="00666104">
        <w:t>dbh</w:t>
      </w:r>
      <w:proofErr w:type="spellEnd"/>
      <w:r w:rsidRPr="00666104">
        <w:t>)</w:t>
      </w:r>
      <w:r w:rsidR="005F133B">
        <w:t xml:space="preserve">, height, and live crown base height </w:t>
      </w:r>
      <w:r w:rsidRPr="00666104">
        <w:t xml:space="preserve">were recorded for all stems greater than 10 cm </w:t>
      </w:r>
      <w:proofErr w:type="spellStart"/>
      <w:r w:rsidRPr="00666104">
        <w:t>dbh</w:t>
      </w:r>
      <w:proofErr w:type="spellEnd"/>
      <w:r w:rsidRPr="00666104">
        <w:t xml:space="preserve">. </w:t>
      </w:r>
      <w:r w:rsidR="005F133B">
        <w:t xml:space="preserve">Instances of damage or health problems were recorded. </w:t>
      </w:r>
      <w:r w:rsidR="00736640">
        <w:t xml:space="preserve">Dominant understory species were identified and percent cover of understory vegetation recorded. </w:t>
      </w:r>
      <w:r w:rsidR="00117FD5">
        <w:t xml:space="preserve">Tree regeneration (&lt;10 cm </w:t>
      </w:r>
      <w:proofErr w:type="spellStart"/>
      <w:r w:rsidR="00117FD5">
        <w:t>dbh</w:t>
      </w:r>
      <w:proofErr w:type="spellEnd"/>
      <w:r w:rsidR="00117FD5">
        <w:t xml:space="preserve">) and understory vegetation was assessed using a </w:t>
      </w:r>
      <w:r w:rsidR="00526089">
        <w:t>0.0</w:t>
      </w:r>
      <w:r w:rsidR="00736640">
        <w:t>04</w:t>
      </w:r>
      <w:r w:rsidR="00526089">
        <w:t xml:space="preserve"> ha subplot centrally located inside the monitoring plot. P</w:t>
      </w:r>
      <w:r w:rsidR="004139B1" w:rsidRPr="00666104">
        <w:t>lots were re</w:t>
      </w:r>
      <w:r w:rsidR="009F7821">
        <w:t>-</w:t>
      </w:r>
      <w:r w:rsidR="004139B1">
        <w:t>measured</w:t>
      </w:r>
      <w:r w:rsidR="004139B1" w:rsidRPr="00666104">
        <w:t xml:space="preserve"> immediately after treatment in 2008, </w:t>
      </w:r>
      <w:r w:rsidR="004139B1">
        <w:t xml:space="preserve">and again in </w:t>
      </w:r>
      <w:r w:rsidR="004139B1" w:rsidRPr="00666104">
        <w:t>2013, and 2018.</w:t>
      </w:r>
    </w:p>
    <w:p w:rsidR="00102C29" w:rsidRPr="00102C29" w:rsidRDefault="00102C29" w:rsidP="00102C29">
      <w:pPr>
        <w:autoSpaceDE w:val="0"/>
        <w:autoSpaceDN w:val="0"/>
        <w:adjustRightInd w:val="0"/>
        <w:spacing w:line="240" w:lineRule="auto"/>
        <w:ind w:left="450"/>
        <w:rPr>
          <w:rFonts w:cs="Times New Roman"/>
        </w:rPr>
      </w:pPr>
      <w:r w:rsidRPr="00102C29">
        <w:rPr>
          <w:rFonts w:cs="Times New Roman"/>
        </w:rPr>
        <w:t xml:space="preserve">We propose to evaluate 10-year temporal and spatial variability in growth and structure </w:t>
      </w:r>
      <w:r w:rsidR="005A16CB">
        <w:rPr>
          <w:rFonts w:cs="Times New Roman"/>
        </w:rPr>
        <w:t xml:space="preserve">following implementation </w:t>
      </w:r>
      <w:r w:rsidRPr="00102C29">
        <w:rPr>
          <w:rFonts w:cs="Times New Roman"/>
        </w:rPr>
        <w:t xml:space="preserve">of two thinning methods of two intensities. We will also assess </w:t>
      </w:r>
      <w:r w:rsidR="005A16CB">
        <w:rPr>
          <w:rFonts w:cs="Times New Roman"/>
        </w:rPr>
        <w:t xml:space="preserve">understory vegetation attributes, and </w:t>
      </w:r>
      <w:r w:rsidRPr="00102C29">
        <w:rPr>
          <w:rFonts w:cs="Times New Roman"/>
        </w:rPr>
        <w:t xml:space="preserve">the amount of bear damage </w:t>
      </w:r>
      <w:r w:rsidR="005A16CB">
        <w:rPr>
          <w:rFonts w:cs="Times New Roman"/>
        </w:rPr>
        <w:t xml:space="preserve">to each tree species </w:t>
      </w:r>
      <w:r w:rsidRPr="00102C29">
        <w:rPr>
          <w:rFonts w:cs="Times New Roman"/>
        </w:rPr>
        <w:t xml:space="preserve">and how </w:t>
      </w:r>
      <w:r w:rsidR="005A16CB">
        <w:rPr>
          <w:rFonts w:cs="Times New Roman"/>
        </w:rPr>
        <w:t>this</w:t>
      </w:r>
      <w:r w:rsidRPr="00102C29">
        <w:rPr>
          <w:rFonts w:cs="Times New Roman"/>
        </w:rPr>
        <w:t xml:space="preserve"> varies </w:t>
      </w:r>
      <w:r w:rsidR="005A16CB">
        <w:rPr>
          <w:rFonts w:cs="Times New Roman"/>
        </w:rPr>
        <w:t>among</w:t>
      </w:r>
      <w:r w:rsidR="00521FC5">
        <w:rPr>
          <w:rFonts w:cs="Times New Roman"/>
        </w:rPr>
        <w:t xml:space="preserve"> </w:t>
      </w:r>
      <w:bookmarkStart w:id="0" w:name="_GoBack"/>
      <w:bookmarkEnd w:id="0"/>
      <w:r w:rsidRPr="00102C29">
        <w:rPr>
          <w:rFonts w:cs="Times New Roman"/>
        </w:rPr>
        <w:t>treatment</w:t>
      </w:r>
      <w:r w:rsidR="005A16CB">
        <w:rPr>
          <w:rFonts w:cs="Times New Roman"/>
        </w:rPr>
        <w:t>s</w:t>
      </w:r>
      <w:r w:rsidRPr="00102C29">
        <w:rPr>
          <w:rFonts w:cs="Times New Roman"/>
        </w:rPr>
        <w:t>.</w:t>
      </w:r>
      <w:r w:rsidRPr="00666104">
        <w:t xml:space="preserve"> </w:t>
      </w:r>
      <w:r w:rsidRPr="00102C29">
        <w:rPr>
          <w:rFonts w:cs="Times New Roman"/>
        </w:rPr>
        <w:t xml:space="preserve">Data analysis will include multiple linear regression analysis of growth rates (e.g., Berrill &amp; O’Hara 2014, Dagley et al. 2018) and structural complexity (e.g., </w:t>
      </w:r>
      <w:r w:rsidR="009F73B9">
        <w:rPr>
          <w:rFonts w:cs="Times New Roman"/>
        </w:rPr>
        <w:t xml:space="preserve">Calderon et al. 2006, </w:t>
      </w:r>
      <w:proofErr w:type="spellStart"/>
      <w:r w:rsidRPr="00102C29">
        <w:rPr>
          <w:rFonts w:cs="Times New Roman"/>
        </w:rPr>
        <w:t>Teraoka</w:t>
      </w:r>
      <w:proofErr w:type="spellEnd"/>
      <w:r w:rsidRPr="00102C29">
        <w:rPr>
          <w:rFonts w:cs="Times New Roman"/>
        </w:rPr>
        <w:t xml:space="preserve"> &amp; Keyes 2011, </w:t>
      </w:r>
      <w:proofErr w:type="spellStart"/>
      <w:r w:rsidRPr="00102C29">
        <w:rPr>
          <w:rFonts w:cs="Times New Roman"/>
        </w:rPr>
        <w:t>Kuehne</w:t>
      </w:r>
      <w:proofErr w:type="spellEnd"/>
      <w:r w:rsidRPr="00102C29">
        <w:rPr>
          <w:rFonts w:cs="Times New Roman"/>
        </w:rPr>
        <w:t xml:space="preserve"> et al. 2018). The regression analys</w:t>
      </w:r>
      <w:r w:rsidR="00EE439B">
        <w:rPr>
          <w:rFonts w:cs="Times New Roman"/>
        </w:rPr>
        <w:t>e</w:t>
      </w:r>
      <w:r w:rsidRPr="00102C29">
        <w:rPr>
          <w:rFonts w:cs="Times New Roman"/>
        </w:rPr>
        <w:t>s will test for significant treatment effects and influential covariates including tree size variables, tree health and damage, and stand variables such as density, composition, and multiple indicators of structural complexity. Multivariate discriminant analysis will attribute differences among thinning treatments to suites of influential variables. Simulation modeling of future growth and stand development will also be performed to support adaptive management in light of longer-term goals of restoring late-successional structural features (e.g., Berrill et al. 2013).</w:t>
      </w:r>
    </w:p>
    <w:p w:rsidR="00847AC9" w:rsidRDefault="00847AC9" w:rsidP="00DA5B9D">
      <w:pPr>
        <w:pStyle w:val="ListParagraph"/>
        <w:numPr>
          <w:ilvl w:val="0"/>
          <w:numId w:val="1"/>
        </w:numPr>
        <w:spacing w:after="0" w:line="240" w:lineRule="auto"/>
        <w:ind w:left="450" w:hanging="450"/>
        <w:rPr>
          <w:smallCaps/>
          <w:sz w:val="24"/>
        </w:rPr>
      </w:pPr>
      <w:r>
        <w:rPr>
          <w:smallCaps/>
          <w:sz w:val="24"/>
        </w:rPr>
        <w:t>Expected Outcomes</w:t>
      </w:r>
    </w:p>
    <w:p w:rsidR="00FB62A7" w:rsidRPr="00FB62A7" w:rsidRDefault="004636EA" w:rsidP="00713CE4">
      <w:pPr>
        <w:spacing w:after="0" w:line="240" w:lineRule="auto"/>
        <w:ind w:left="450" w:firstLine="270"/>
      </w:pPr>
      <w:r>
        <w:t>Already available are r</w:t>
      </w:r>
      <w:r w:rsidR="00A669BC">
        <w:t xml:space="preserve">epeat measures of </w:t>
      </w:r>
      <w:r w:rsidR="00650A2A">
        <w:t xml:space="preserve">stem-mapped </w:t>
      </w:r>
      <w:r w:rsidR="00A669BC">
        <w:t xml:space="preserve">field data </w:t>
      </w:r>
      <w:r>
        <w:t>for this restoration experiment</w:t>
      </w:r>
      <w:r w:rsidR="00A669BC">
        <w:t xml:space="preserve">. Analysis of this valuable data set </w:t>
      </w:r>
      <w:r w:rsidR="00713CE4">
        <w:t xml:space="preserve">will help guide adaptive management for Redwood Rising and other restoration efforts. </w:t>
      </w:r>
      <w:r w:rsidR="00335368">
        <w:t>Th</w:t>
      </w:r>
      <w:r w:rsidR="005C51E6">
        <w:t xml:space="preserve">is study will be the first in the redwood region to </w:t>
      </w:r>
      <w:r w:rsidR="00335368">
        <w:t xml:space="preserve">evaluate 10-year temporal and spatial variability in structure and growth among </w:t>
      </w:r>
      <w:r w:rsidR="009A4D76">
        <w:t xml:space="preserve">contrasting </w:t>
      </w:r>
      <w:r w:rsidR="00335368">
        <w:t xml:space="preserve">thinning treatments and intensities. </w:t>
      </w:r>
      <w:r w:rsidR="009A4D76">
        <w:t xml:space="preserve">This will allow </w:t>
      </w:r>
      <w:r w:rsidR="00A669BC">
        <w:t xml:space="preserve">for side by side comparison of </w:t>
      </w:r>
      <w:r>
        <w:t>multiple ecosystem attributes representative of forest str</w:t>
      </w:r>
      <w:r w:rsidR="004D7C8F">
        <w:t>u</w:t>
      </w:r>
      <w:r>
        <w:t xml:space="preserve">cture: </w:t>
      </w:r>
      <w:r w:rsidR="009A4D76">
        <w:t>tree growth</w:t>
      </w:r>
      <w:r>
        <w:t xml:space="preserve"> and vigor</w:t>
      </w:r>
      <w:r w:rsidR="009A4D76">
        <w:t xml:space="preserve">, species composition, structural </w:t>
      </w:r>
      <w:r w:rsidR="00B17DED">
        <w:t>complexity</w:t>
      </w:r>
      <w:r w:rsidR="00A669BC">
        <w:t xml:space="preserve">, </w:t>
      </w:r>
      <w:r w:rsidR="00B96CCF">
        <w:t xml:space="preserve">understory vegetation, </w:t>
      </w:r>
      <w:r w:rsidR="00A669BC">
        <w:t xml:space="preserve">and bear </w:t>
      </w:r>
      <w:r w:rsidR="00B96CCF">
        <w:t>damage among</w:t>
      </w:r>
      <w:r w:rsidR="009A4D76">
        <w:t xml:space="preserve"> treatments. We will be able to determine if the increase in tree growth rates from thinning treatments is maintained long-term, via comparison of </w:t>
      </w:r>
      <w:r>
        <w:t xml:space="preserve">immediate response and longer-term response (i.e., </w:t>
      </w:r>
      <w:r w:rsidR="009A4D76">
        <w:t xml:space="preserve">0-5 and 5-10 year </w:t>
      </w:r>
      <w:r>
        <w:t>post-treatment periods</w:t>
      </w:r>
      <w:r w:rsidR="009A4D76">
        <w:t xml:space="preserve">). </w:t>
      </w:r>
      <w:r>
        <w:t>Then, the 10-year data will be used as starting data for m</w:t>
      </w:r>
      <w:r w:rsidR="00B96CCF">
        <w:t>odel</w:t>
      </w:r>
      <w:r w:rsidR="00FA51A8">
        <w:t xml:space="preserve"> simulations of </w:t>
      </w:r>
      <w:r w:rsidR="00293A6F">
        <w:t xml:space="preserve">stand </w:t>
      </w:r>
      <w:r w:rsidR="00B96CCF">
        <w:t xml:space="preserve">growth </w:t>
      </w:r>
      <w:r w:rsidR="00140883">
        <w:t xml:space="preserve">to </w:t>
      </w:r>
      <w:r w:rsidR="00B96CCF">
        <w:t xml:space="preserve">identify time taken to reach </w:t>
      </w:r>
      <w:r w:rsidR="00293A6F">
        <w:t xml:space="preserve">late successional forest </w:t>
      </w:r>
      <w:r w:rsidR="00B96CCF">
        <w:t>structur</w:t>
      </w:r>
      <w:r w:rsidR="00293A6F">
        <w:t>e</w:t>
      </w:r>
      <w:r w:rsidR="00140883">
        <w:t xml:space="preserve"> reference condition</w:t>
      </w:r>
      <w:r w:rsidR="00293A6F">
        <w:t xml:space="preserve">s. </w:t>
      </w:r>
      <w:r w:rsidR="00B96CCF">
        <w:t xml:space="preserve"> </w:t>
      </w:r>
    </w:p>
    <w:p w:rsidR="00D94568" w:rsidRPr="00D94568" w:rsidRDefault="00D94568" w:rsidP="00DA5B9D">
      <w:pPr>
        <w:spacing w:after="0" w:line="240" w:lineRule="auto"/>
        <w:rPr>
          <w:smallCaps/>
        </w:rPr>
      </w:pPr>
    </w:p>
    <w:p w:rsidR="00D94568" w:rsidRDefault="00D94568" w:rsidP="00D94568">
      <w:pPr>
        <w:pStyle w:val="ListParagraph"/>
        <w:numPr>
          <w:ilvl w:val="0"/>
          <w:numId w:val="1"/>
        </w:numPr>
        <w:spacing w:after="0" w:line="240" w:lineRule="auto"/>
        <w:ind w:left="450" w:hanging="450"/>
        <w:rPr>
          <w:smallCaps/>
          <w:sz w:val="24"/>
        </w:rPr>
      </w:pPr>
      <w:r>
        <w:rPr>
          <w:smallCaps/>
          <w:sz w:val="24"/>
        </w:rPr>
        <w:t>Relevance to Conservation</w:t>
      </w:r>
    </w:p>
    <w:p w:rsidR="003170AB" w:rsidRPr="003170AB" w:rsidRDefault="003170AB" w:rsidP="003170AB">
      <w:pPr>
        <w:spacing w:after="0" w:line="240" w:lineRule="auto"/>
        <w:ind w:left="450" w:firstLine="270"/>
        <w:rPr>
          <w:smallCaps/>
        </w:rPr>
      </w:pPr>
      <w:r w:rsidRPr="00666104">
        <w:t xml:space="preserve">This study directly informs restoration of </w:t>
      </w:r>
      <w:r>
        <w:t xml:space="preserve">redwood </w:t>
      </w:r>
      <w:r w:rsidRPr="00666104">
        <w:t>stands towards the old-growth reference condition. Old-growth forests are characterized as having greater structural diversity compared to stands</w:t>
      </w:r>
      <w:r>
        <w:t xml:space="preserve"> with a history of logging</w:t>
      </w:r>
      <w:r w:rsidRPr="00666104">
        <w:t xml:space="preserve">. This project </w:t>
      </w:r>
      <w:r w:rsidR="004D7C8F">
        <w:t>focusses on</w:t>
      </w:r>
      <w:r w:rsidRPr="00666104">
        <w:t xml:space="preserve"> structural diversity </w:t>
      </w:r>
      <w:r>
        <w:t xml:space="preserve">and other ecosystem attributes </w:t>
      </w:r>
      <w:r w:rsidR="004D7C8F">
        <w:t xml:space="preserve">that serve as indicators of old-growth forest. </w:t>
      </w:r>
      <w:r w:rsidRPr="00666104">
        <w:t xml:space="preserve">. This </w:t>
      </w:r>
      <w:r>
        <w:t>will be</w:t>
      </w:r>
      <w:r w:rsidRPr="00666104">
        <w:t xml:space="preserve"> the first stud</w:t>
      </w:r>
      <w:r>
        <w:t>y</w:t>
      </w:r>
      <w:r w:rsidRPr="00666104">
        <w:t xml:space="preserve"> in the redwood region to quantify the effects of </w:t>
      </w:r>
      <w:r>
        <w:t xml:space="preserve">thinning </w:t>
      </w:r>
      <w:r w:rsidRPr="00666104">
        <w:t xml:space="preserve">intensity and thinning method on forest structure </w:t>
      </w:r>
      <w:r>
        <w:t xml:space="preserve">and composition over a </w:t>
      </w:r>
      <w:r w:rsidRPr="00666104">
        <w:t>longer t</w:t>
      </w:r>
      <w:r>
        <w:t>ime horizon</w:t>
      </w:r>
      <w:r w:rsidRPr="00666104">
        <w:t xml:space="preserve"> (10</w:t>
      </w:r>
      <w:r>
        <w:t xml:space="preserve"> </w:t>
      </w:r>
      <w:r w:rsidRPr="00666104">
        <w:t>year</w:t>
      </w:r>
      <w:r>
        <w:t>s</w:t>
      </w:r>
      <w:r w:rsidRPr="00666104">
        <w:t xml:space="preserve">). </w:t>
      </w:r>
      <w:r w:rsidR="004D7C8F">
        <w:t>Knowledge of outcomes from thinning at advanced ages can be applied to restoration of older stands</w:t>
      </w:r>
      <w:r w:rsidR="00E95B28">
        <w:t xml:space="preserve"> where this potential to offset costs of restoration by harvesting and selling cut trees</w:t>
      </w:r>
      <w:r w:rsidR="004D7C8F">
        <w:t xml:space="preserve">. </w:t>
      </w:r>
      <w:r w:rsidR="00AA5B2F">
        <w:t>Rigorous results from analysis of this r</w:t>
      </w:r>
      <w:r w:rsidR="00AA5B2F" w:rsidRPr="00666104">
        <w:t xml:space="preserve">eplicated </w:t>
      </w:r>
      <w:r w:rsidR="00AA5B2F" w:rsidRPr="00666104">
        <w:lastRenderedPageBreak/>
        <w:t>experiment</w:t>
      </w:r>
      <w:r w:rsidR="00AA5B2F">
        <w:t xml:space="preserve"> </w:t>
      </w:r>
      <w:r w:rsidRPr="00666104">
        <w:t xml:space="preserve">will </w:t>
      </w:r>
      <w:r w:rsidR="00E95B28">
        <w:t xml:space="preserve">quickly be available to </w:t>
      </w:r>
      <w:r w:rsidRPr="00666104">
        <w:t xml:space="preserve">guide </w:t>
      </w:r>
      <w:r w:rsidR="00E95B28">
        <w:t xml:space="preserve">restoration in to the </w:t>
      </w:r>
      <w:r w:rsidRPr="00666104">
        <w:t>future</w:t>
      </w:r>
      <w:r>
        <w:t xml:space="preserve">, </w:t>
      </w:r>
      <w:r w:rsidR="00E95B28">
        <w:t xml:space="preserve">including </w:t>
      </w:r>
      <w:r>
        <w:t>restoration at Redwood National Park where the experiment is located</w:t>
      </w:r>
      <w:r w:rsidRPr="00666104">
        <w:t>.</w:t>
      </w:r>
    </w:p>
    <w:p w:rsidR="000B6D46" w:rsidRDefault="000B6D46" w:rsidP="003170AB">
      <w:pPr>
        <w:pStyle w:val="ListParagraph"/>
        <w:spacing w:after="0" w:line="240" w:lineRule="auto"/>
      </w:pPr>
    </w:p>
    <w:p w:rsidR="00156315" w:rsidRDefault="00156315" w:rsidP="00DA5B9D">
      <w:pPr>
        <w:pStyle w:val="ListParagraph"/>
        <w:numPr>
          <w:ilvl w:val="0"/>
          <w:numId w:val="1"/>
        </w:numPr>
        <w:spacing w:after="0" w:line="240" w:lineRule="auto"/>
        <w:ind w:left="450" w:hanging="450"/>
        <w:rPr>
          <w:smallCaps/>
          <w:sz w:val="24"/>
        </w:rPr>
      </w:pPr>
      <w:r>
        <w:rPr>
          <w:smallCaps/>
          <w:sz w:val="24"/>
        </w:rPr>
        <w:t>Deliverables</w:t>
      </w:r>
    </w:p>
    <w:p w:rsidR="004A5325" w:rsidRPr="008837E4" w:rsidRDefault="004A5325" w:rsidP="007179E1">
      <w:pPr>
        <w:spacing w:line="240" w:lineRule="auto"/>
        <w:ind w:left="450" w:firstLine="270"/>
      </w:pPr>
      <w:r w:rsidRPr="008837E4">
        <w:t>We propose the following activities/products to increase public awareness about our findings and their application to forest restoration</w:t>
      </w:r>
      <w:r w:rsidR="00232444">
        <w:t xml:space="preserve"> (planned completion Spring 2022)</w:t>
      </w:r>
      <w:r w:rsidRPr="008837E4">
        <w:t>:</w:t>
      </w:r>
    </w:p>
    <w:p w:rsidR="004A5325" w:rsidRPr="008837E4" w:rsidRDefault="004A5325" w:rsidP="004A5325">
      <w:pPr>
        <w:pStyle w:val="ListParagraph"/>
        <w:numPr>
          <w:ilvl w:val="0"/>
          <w:numId w:val="6"/>
        </w:numPr>
        <w:spacing w:after="120" w:line="240" w:lineRule="auto"/>
      </w:pPr>
      <w:r w:rsidRPr="008837E4">
        <w:t>Organize and host outreach field tour upon peer-review acceptance of manuscript</w:t>
      </w:r>
    </w:p>
    <w:p w:rsidR="004A5325" w:rsidRPr="008837E4" w:rsidRDefault="004A5325" w:rsidP="004A5325">
      <w:pPr>
        <w:pStyle w:val="ListParagraph"/>
        <w:numPr>
          <w:ilvl w:val="0"/>
          <w:numId w:val="7"/>
        </w:numPr>
        <w:spacing w:after="120" w:line="240" w:lineRule="auto"/>
      </w:pPr>
      <w:r w:rsidRPr="008837E4">
        <w:t>Produce brochure summarizing key findings for visitors to Redwood National Park</w:t>
      </w:r>
    </w:p>
    <w:p w:rsidR="004A5325" w:rsidRPr="008837E4" w:rsidRDefault="004A5325" w:rsidP="004A5325">
      <w:pPr>
        <w:pStyle w:val="ListParagraph"/>
        <w:numPr>
          <w:ilvl w:val="0"/>
          <w:numId w:val="7"/>
        </w:numPr>
        <w:spacing w:after="120" w:line="240" w:lineRule="auto"/>
      </w:pPr>
      <w:r w:rsidRPr="008837E4">
        <w:t xml:space="preserve">Post manuscript and brochure as .pdf on website </w:t>
      </w:r>
    </w:p>
    <w:p w:rsidR="00156315" w:rsidRPr="00847AC9" w:rsidRDefault="00156315" w:rsidP="00847AC9">
      <w:pPr>
        <w:pStyle w:val="ListParagraph"/>
        <w:spacing w:after="0" w:line="240" w:lineRule="auto"/>
        <w:ind w:left="1080"/>
      </w:pPr>
    </w:p>
    <w:p w:rsidR="00156315" w:rsidRPr="00847AC9" w:rsidRDefault="00156315" w:rsidP="00847AC9">
      <w:pPr>
        <w:spacing w:after="0" w:line="240" w:lineRule="auto"/>
        <w:rPr>
          <w:smallCaps/>
        </w:rPr>
      </w:pPr>
    </w:p>
    <w:p w:rsidR="00156315" w:rsidRDefault="00156315" w:rsidP="00DA5B9D">
      <w:pPr>
        <w:pStyle w:val="ListParagraph"/>
        <w:numPr>
          <w:ilvl w:val="0"/>
          <w:numId w:val="1"/>
        </w:numPr>
        <w:spacing w:after="0" w:line="240" w:lineRule="auto"/>
        <w:ind w:left="450" w:hanging="450"/>
        <w:rPr>
          <w:smallCaps/>
          <w:sz w:val="24"/>
        </w:rPr>
      </w:pPr>
      <w:r>
        <w:rPr>
          <w:smallCaps/>
          <w:sz w:val="24"/>
        </w:rPr>
        <w:t>Budget</w:t>
      </w:r>
    </w:p>
    <w:tbl>
      <w:tblPr>
        <w:tblW w:w="8360" w:type="dxa"/>
        <w:tblInd w:w="93" w:type="dxa"/>
        <w:tblLook w:val="04A0" w:firstRow="1" w:lastRow="0" w:firstColumn="1" w:lastColumn="0" w:noHBand="0" w:noVBand="1"/>
      </w:tblPr>
      <w:tblGrid>
        <w:gridCol w:w="5980"/>
        <w:gridCol w:w="2380"/>
      </w:tblGrid>
      <w:tr w:rsidR="00AD55BD" w:rsidRPr="00AD55BD" w:rsidTr="00AD55BD">
        <w:trPr>
          <w:trHeight w:val="615"/>
        </w:trPr>
        <w:tc>
          <w:tcPr>
            <w:tcW w:w="598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AD55BD" w:rsidRPr="00AD55BD" w:rsidRDefault="00AD55BD" w:rsidP="00AD55BD">
            <w:pPr>
              <w:spacing w:after="0" w:line="240" w:lineRule="auto"/>
              <w:rPr>
                <w:rFonts w:ascii="Calibri Light" w:eastAsia="Times New Roman" w:hAnsi="Calibri Light" w:cs="Times New Roman"/>
                <w:b/>
                <w:bCs/>
                <w:color w:val="000000"/>
              </w:rPr>
            </w:pPr>
            <w:r w:rsidRPr="00AD55BD">
              <w:rPr>
                <w:rFonts w:ascii="Calibri Light" w:eastAsia="Times New Roman" w:hAnsi="Calibri Light" w:cs="Times New Roman"/>
                <w:b/>
                <w:bCs/>
                <w:color w:val="000000"/>
              </w:rPr>
              <w:t>Budget Item</w:t>
            </w:r>
          </w:p>
        </w:tc>
        <w:tc>
          <w:tcPr>
            <w:tcW w:w="2380" w:type="dxa"/>
            <w:tcBorders>
              <w:top w:val="single" w:sz="8" w:space="0" w:color="auto"/>
              <w:left w:val="nil"/>
              <w:bottom w:val="single" w:sz="8" w:space="0" w:color="auto"/>
              <w:right w:val="single" w:sz="8" w:space="0" w:color="auto"/>
            </w:tcBorders>
            <w:shd w:val="clear" w:color="000000" w:fill="F2F2F2"/>
            <w:vAlign w:val="center"/>
            <w:hideMark/>
          </w:tcPr>
          <w:p w:rsidR="00AD55BD" w:rsidRPr="00AD55BD" w:rsidRDefault="00AD55BD" w:rsidP="00AD55BD">
            <w:pPr>
              <w:spacing w:after="0" w:line="240" w:lineRule="auto"/>
              <w:jc w:val="center"/>
              <w:rPr>
                <w:rFonts w:ascii="Calibri Light" w:eastAsia="Times New Roman" w:hAnsi="Calibri Light" w:cs="Times New Roman"/>
                <w:b/>
                <w:bCs/>
                <w:color w:val="000000"/>
              </w:rPr>
            </w:pPr>
            <w:r w:rsidRPr="00AD55BD">
              <w:rPr>
                <w:rFonts w:ascii="Calibri Light" w:eastAsia="Times New Roman" w:hAnsi="Calibri Light" w:cs="Times New Roman"/>
                <w:b/>
                <w:bCs/>
                <w:color w:val="000000"/>
              </w:rPr>
              <w:t>Total</w:t>
            </w:r>
          </w:p>
        </w:tc>
      </w:tr>
      <w:tr w:rsidR="00AD55BD" w:rsidRPr="00AD55BD" w:rsidTr="00AD55BD">
        <w:trPr>
          <w:trHeight w:val="402"/>
        </w:trPr>
        <w:tc>
          <w:tcPr>
            <w:tcW w:w="5980" w:type="dxa"/>
            <w:tcBorders>
              <w:top w:val="nil"/>
              <w:left w:val="single" w:sz="8" w:space="0" w:color="auto"/>
              <w:bottom w:val="nil"/>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rPr>
            </w:pPr>
            <w:r w:rsidRPr="00AD55BD">
              <w:rPr>
                <w:rFonts w:ascii="Calibri Light" w:eastAsia="Times New Roman" w:hAnsi="Calibri Light" w:cs="Times New Roman"/>
              </w:rPr>
              <w:t>a. Personnel (time allocations and salary/wages)</w:t>
            </w:r>
          </w:p>
        </w:tc>
        <w:tc>
          <w:tcPr>
            <w:tcW w:w="2380" w:type="dxa"/>
            <w:tcBorders>
              <w:top w:val="nil"/>
              <w:left w:val="nil"/>
              <w:bottom w:val="nil"/>
              <w:right w:val="single" w:sz="8" w:space="0" w:color="auto"/>
            </w:tcBorders>
            <w:shd w:val="clear" w:color="auto" w:fill="auto"/>
            <w:vAlign w:val="center"/>
            <w:hideMark/>
          </w:tcPr>
          <w:p w:rsidR="00AD55BD" w:rsidRPr="00AD55BD" w:rsidRDefault="00AD55BD" w:rsidP="00AD55BD">
            <w:pPr>
              <w:spacing w:after="0" w:line="240" w:lineRule="auto"/>
              <w:jc w:val="right"/>
              <w:rPr>
                <w:rFonts w:ascii="Calibri Light" w:eastAsia="Times New Roman" w:hAnsi="Calibri Light" w:cs="Times New Roman"/>
                <w:color w:val="FF0000"/>
              </w:rPr>
            </w:pPr>
            <w:r w:rsidRPr="00AD55BD">
              <w:rPr>
                <w:rFonts w:ascii="Calibri Light" w:eastAsia="Times New Roman" w:hAnsi="Calibri Light" w:cs="Times New Roman"/>
                <w:strike/>
                <w:color w:val="FF0000"/>
              </w:rPr>
              <w:t> </w:t>
            </w:r>
          </w:p>
        </w:tc>
      </w:tr>
      <w:tr w:rsidR="00AD55BD" w:rsidRPr="00AD55BD" w:rsidTr="00AD55BD">
        <w:trPr>
          <w:trHeight w:val="402"/>
        </w:trPr>
        <w:tc>
          <w:tcPr>
            <w:tcW w:w="5980" w:type="dxa"/>
            <w:tcBorders>
              <w:top w:val="nil"/>
              <w:left w:val="single" w:sz="8" w:space="0" w:color="auto"/>
              <w:bottom w:val="nil"/>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b/>
                <w:bCs/>
              </w:rPr>
            </w:pPr>
            <w:r w:rsidRPr="00AD55BD">
              <w:rPr>
                <w:rFonts w:ascii="Calibri Light" w:eastAsia="Times New Roman" w:hAnsi="Calibri Light" w:cs="Times New Roman"/>
                <w:b/>
                <w:bCs/>
              </w:rPr>
              <w:t>PI</w:t>
            </w:r>
            <w:r w:rsidRPr="00AD55BD">
              <w:rPr>
                <w:rFonts w:ascii="Calibri Light" w:eastAsia="Times New Roman" w:hAnsi="Calibri Light" w:cs="Times New Roman"/>
              </w:rPr>
              <w:t>: 50 hours /</w:t>
            </w:r>
            <w:proofErr w:type="spellStart"/>
            <w:r w:rsidRPr="00AD55BD">
              <w:rPr>
                <w:rFonts w:ascii="Calibri Light" w:eastAsia="Times New Roman" w:hAnsi="Calibri Light" w:cs="Times New Roman"/>
              </w:rPr>
              <w:t>yr</w:t>
            </w:r>
            <w:proofErr w:type="spellEnd"/>
            <w:r w:rsidRPr="00AD55BD">
              <w:rPr>
                <w:rFonts w:ascii="Calibri Light" w:eastAsia="Times New Roman" w:hAnsi="Calibri Light" w:cs="Times New Roman"/>
              </w:rPr>
              <w:t xml:space="preserve"> in year 1 and 2</w:t>
            </w:r>
          </w:p>
        </w:tc>
        <w:tc>
          <w:tcPr>
            <w:tcW w:w="2380" w:type="dxa"/>
            <w:tcBorders>
              <w:top w:val="nil"/>
              <w:left w:val="nil"/>
              <w:bottom w:val="nil"/>
              <w:right w:val="single" w:sz="8" w:space="0" w:color="auto"/>
            </w:tcBorders>
            <w:shd w:val="clear" w:color="auto" w:fill="auto"/>
            <w:vAlign w:val="bottom"/>
            <w:hideMark/>
          </w:tcPr>
          <w:p w:rsidR="00AD55BD" w:rsidRPr="00AD55BD" w:rsidRDefault="00AD55BD" w:rsidP="00AD55BD">
            <w:pPr>
              <w:spacing w:after="0" w:line="240" w:lineRule="auto"/>
              <w:jc w:val="right"/>
              <w:rPr>
                <w:rFonts w:ascii="Calibri" w:eastAsia="Times New Roman" w:hAnsi="Calibri" w:cs="Times New Roman"/>
                <w:color w:val="000000"/>
              </w:rPr>
            </w:pPr>
            <w:r w:rsidRPr="00AD55BD">
              <w:rPr>
                <w:rFonts w:ascii="Calibri" w:eastAsia="Times New Roman" w:hAnsi="Calibri" w:cs="Times New Roman"/>
                <w:color w:val="000000"/>
              </w:rPr>
              <w:t>3,888</w:t>
            </w:r>
          </w:p>
        </w:tc>
      </w:tr>
      <w:tr w:rsidR="00AD55BD" w:rsidRPr="00AD55BD" w:rsidTr="00AD55BD">
        <w:trPr>
          <w:trHeight w:val="402"/>
        </w:trPr>
        <w:tc>
          <w:tcPr>
            <w:tcW w:w="5980" w:type="dxa"/>
            <w:tcBorders>
              <w:top w:val="nil"/>
              <w:left w:val="single" w:sz="8" w:space="0" w:color="auto"/>
              <w:bottom w:val="nil"/>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b/>
                <w:bCs/>
              </w:rPr>
            </w:pPr>
            <w:r w:rsidRPr="00AD55BD">
              <w:rPr>
                <w:rFonts w:ascii="Calibri Light" w:eastAsia="Times New Roman" w:hAnsi="Calibri Light" w:cs="Times New Roman"/>
                <w:b/>
                <w:bCs/>
              </w:rPr>
              <w:t>Co-PI</w:t>
            </w:r>
            <w:r w:rsidRPr="00AD55BD">
              <w:rPr>
                <w:rFonts w:ascii="Calibri Light" w:eastAsia="Times New Roman" w:hAnsi="Calibri Light" w:cs="Times New Roman"/>
              </w:rPr>
              <w:t>: 20 hours in year 2</w:t>
            </w:r>
          </w:p>
        </w:tc>
        <w:tc>
          <w:tcPr>
            <w:tcW w:w="2380" w:type="dxa"/>
            <w:tcBorders>
              <w:top w:val="nil"/>
              <w:left w:val="nil"/>
              <w:bottom w:val="nil"/>
              <w:right w:val="single" w:sz="8" w:space="0" w:color="auto"/>
            </w:tcBorders>
            <w:shd w:val="clear" w:color="auto" w:fill="auto"/>
            <w:vAlign w:val="bottom"/>
            <w:hideMark/>
          </w:tcPr>
          <w:p w:rsidR="00AD55BD" w:rsidRPr="00AD55BD" w:rsidRDefault="00AD55BD" w:rsidP="00AD55BD">
            <w:pPr>
              <w:spacing w:after="0" w:line="240" w:lineRule="auto"/>
              <w:jc w:val="right"/>
              <w:rPr>
                <w:rFonts w:ascii="Calibri" w:eastAsia="Times New Roman" w:hAnsi="Calibri" w:cs="Times New Roman"/>
                <w:color w:val="000000"/>
              </w:rPr>
            </w:pPr>
            <w:r w:rsidRPr="00AD55BD">
              <w:rPr>
                <w:rFonts w:ascii="Calibri" w:eastAsia="Times New Roman" w:hAnsi="Calibri" w:cs="Times New Roman"/>
                <w:color w:val="000000"/>
              </w:rPr>
              <w:t>1,186</w:t>
            </w:r>
          </w:p>
        </w:tc>
      </w:tr>
      <w:tr w:rsidR="00AD55BD" w:rsidRPr="00AD55BD" w:rsidTr="00AD55BD">
        <w:trPr>
          <w:trHeight w:val="402"/>
        </w:trPr>
        <w:tc>
          <w:tcPr>
            <w:tcW w:w="5980" w:type="dxa"/>
            <w:tcBorders>
              <w:top w:val="nil"/>
              <w:left w:val="single" w:sz="8" w:space="0" w:color="auto"/>
              <w:bottom w:val="nil"/>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b/>
                <w:bCs/>
              </w:rPr>
            </w:pPr>
            <w:r w:rsidRPr="00AD55BD">
              <w:rPr>
                <w:rFonts w:ascii="Calibri Light" w:eastAsia="Times New Roman" w:hAnsi="Calibri Light" w:cs="Times New Roman"/>
                <w:b/>
                <w:bCs/>
              </w:rPr>
              <w:t>Grad student</w:t>
            </w:r>
            <w:r w:rsidRPr="00AD55BD">
              <w:rPr>
                <w:rFonts w:ascii="Calibri Light" w:eastAsia="Times New Roman" w:hAnsi="Calibri Light" w:cs="Times New Roman"/>
              </w:rPr>
              <w:t>: $16/</w:t>
            </w:r>
            <w:proofErr w:type="spellStart"/>
            <w:r w:rsidRPr="00AD55BD">
              <w:rPr>
                <w:rFonts w:ascii="Calibri Light" w:eastAsia="Times New Roman" w:hAnsi="Calibri Light" w:cs="Times New Roman"/>
              </w:rPr>
              <w:t>hr</w:t>
            </w:r>
            <w:proofErr w:type="spellEnd"/>
            <w:r w:rsidRPr="00AD55BD">
              <w:rPr>
                <w:rFonts w:ascii="Calibri Light" w:eastAsia="Times New Roman" w:hAnsi="Calibri Light" w:cs="Times New Roman"/>
              </w:rPr>
              <w:t xml:space="preserve"> at 20 </w:t>
            </w:r>
            <w:proofErr w:type="spellStart"/>
            <w:r w:rsidRPr="00AD55BD">
              <w:rPr>
                <w:rFonts w:ascii="Calibri Light" w:eastAsia="Times New Roman" w:hAnsi="Calibri Light" w:cs="Times New Roman"/>
              </w:rPr>
              <w:t>hrs</w:t>
            </w:r>
            <w:proofErr w:type="spellEnd"/>
            <w:r w:rsidRPr="00AD55BD">
              <w:rPr>
                <w:rFonts w:ascii="Calibri Light" w:eastAsia="Times New Roman" w:hAnsi="Calibri Light" w:cs="Times New Roman"/>
              </w:rPr>
              <w:t xml:space="preserve">/week for 48 weeks </w:t>
            </w:r>
          </w:p>
        </w:tc>
        <w:tc>
          <w:tcPr>
            <w:tcW w:w="2380" w:type="dxa"/>
            <w:tcBorders>
              <w:top w:val="nil"/>
              <w:left w:val="nil"/>
              <w:bottom w:val="nil"/>
              <w:right w:val="single" w:sz="8" w:space="0" w:color="auto"/>
            </w:tcBorders>
            <w:shd w:val="clear" w:color="auto" w:fill="auto"/>
            <w:vAlign w:val="bottom"/>
            <w:hideMark/>
          </w:tcPr>
          <w:p w:rsidR="00AD55BD" w:rsidRPr="00AD55BD" w:rsidRDefault="00AD55BD" w:rsidP="00AD55BD">
            <w:pPr>
              <w:spacing w:after="0" w:line="240" w:lineRule="auto"/>
              <w:jc w:val="right"/>
              <w:rPr>
                <w:rFonts w:ascii="Calibri" w:eastAsia="Times New Roman" w:hAnsi="Calibri" w:cs="Times New Roman"/>
                <w:color w:val="000000"/>
              </w:rPr>
            </w:pPr>
            <w:r w:rsidRPr="00AD55BD">
              <w:rPr>
                <w:rFonts w:ascii="Calibri" w:eastAsia="Times New Roman" w:hAnsi="Calibri" w:cs="Times New Roman"/>
                <w:color w:val="000000"/>
              </w:rPr>
              <w:t>15,360</w:t>
            </w:r>
          </w:p>
        </w:tc>
      </w:tr>
      <w:tr w:rsidR="00AD55BD" w:rsidRPr="00AD55BD" w:rsidTr="00AD55BD">
        <w:trPr>
          <w:trHeight w:val="402"/>
        </w:trPr>
        <w:tc>
          <w:tcPr>
            <w:tcW w:w="59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rPr>
            </w:pPr>
            <w:r w:rsidRPr="00AD55BD">
              <w:rPr>
                <w:rFonts w:ascii="Calibri Light" w:eastAsia="Times New Roman" w:hAnsi="Calibri Light" w:cs="Times New Roman"/>
              </w:rPr>
              <w:t>b. Benefits</w:t>
            </w:r>
          </w:p>
        </w:tc>
        <w:tc>
          <w:tcPr>
            <w:tcW w:w="2380" w:type="dxa"/>
            <w:tcBorders>
              <w:top w:val="single" w:sz="8" w:space="0" w:color="auto"/>
              <w:left w:val="nil"/>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jc w:val="right"/>
              <w:rPr>
                <w:rFonts w:ascii="Calibri Light" w:eastAsia="Times New Roman" w:hAnsi="Calibri Light" w:cs="Times New Roman"/>
                <w:color w:val="000000"/>
              </w:rPr>
            </w:pPr>
            <w:r w:rsidRPr="00AD55BD">
              <w:rPr>
                <w:rFonts w:ascii="Calibri Light" w:eastAsia="Times New Roman" w:hAnsi="Calibri Light" w:cs="Times New Roman"/>
                <w:color w:val="000000"/>
              </w:rPr>
              <w:t>1,964</w:t>
            </w:r>
          </w:p>
        </w:tc>
      </w:tr>
      <w:tr w:rsidR="00AD55BD" w:rsidRPr="00AD55BD" w:rsidTr="00AD55BD">
        <w:trPr>
          <w:trHeight w:val="402"/>
        </w:trPr>
        <w:tc>
          <w:tcPr>
            <w:tcW w:w="5980" w:type="dxa"/>
            <w:tcBorders>
              <w:top w:val="nil"/>
              <w:left w:val="single" w:sz="8" w:space="0" w:color="auto"/>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rPr>
            </w:pPr>
            <w:r w:rsidRPr="00AD55BD">
              <w:rPr>
                <w:rFonts w:ascii="Calibri Light" w:eastAsia="Times New Roman" w:hAnsi="Calibri Light" w:cs="Times New Roman"/>
              </w:rPr>
              <w:t>c. Supplies &amp; Publication Costs</w:t>
            </w:r>
          </w:p>
        </w:tc>
        <w:tc>
          <w:tcPr>
            <w:tcW w:w="2380" w:type="dxa"/>
            <w:tcBorders>
              <w:top w:val="nil"/>
              <w:left w:val="nil"/>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jc w:val="right"/>
              <w:rPr>
                <w:rFonts w:ascii="Calibri Light" w:eastAsia="Times New Roman" w:hAnsi="Calibri Light" w:cs="Times New Roman"/>
                <w:color w:val="000000"/>
              </w:rPr>
            </w:pPr>
            <w:r w:rsidRPr="00AD55BD">
              <w:rPr>
                <w:rFonts w:ascii="Calibri Light" w:eastAsia="Times New Roman" w:hAnsi="Calibri Light" w:cs="Times New Roman"/>
                <w:color w:val="000000"/>
              </w:rPr>
              <w:t>658</w:t>
            </w:r>
          </w:p>
        </w:tc>
      </w:tr>
      <w:tr w:rsidR="00AD55BD" w:rsidRPr="00AD55BD" w:rsidTr="00AD55BD">
        <w:trPr>
          <w:trHeight w:val="402"/>
        </w:trPr>
        <w:tc>
          <w:tcPr>
            <w:tcW w:w="5980" w:type="dxa"/>
            <w:tcBorders>
              <w:top w:val="nil"/>
              <w:left w:val="single" w:sz="8" w:space="0" w:color="auto"/>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color w:val="000000"/>
              </w:rPr>
            </w:pPr>
            <w:r w:rsidRPr="00AD55BD">
              <w:rPr>
                <w:rFonts w:ascii="Calibri Light" w:eastAsia="Times New Roman" w:hAnsi="Calibri Light" w:cs="Times New Roman"/>
                <w:color w:val="000000"/>
              </w:rPr>
              <w:t>d. Total Direct Costs</w:t>
            </w:r>
          </w:p>
        </w:tc>
        <w:tc>
          <w:tcPr>
            <w:tcW w:w="2380" w:type="dxa"/>
            <w:tcBorders>
              <w:top w:val="nil"/>
              <w:left w:val="nil"/>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jc w:val="right"/>
              <w:rPr>
                <w:rFonts w:ascii="Calibri Light" w:eastAsia="Times New Roman" w:hAnsi="Calibri Light" w:cs="Times New Roman"/>
                <w:color w:val="000000"/>
              </w:rPr>
            </w:pPr>
            <w:r w:rsidRPr="00AD55BD">
              <w:rPr>
                <w:rFonts w:ascii="Calibri Light" w:eastAsia="Times New Roman" w:hAnsi="Calibri Light" w:cs="Times New Roman"/>
                <w:color w:val="000000"/>
              </w:rPr>
              <w:t>25,000</w:t>
            </w:r>
          </w:p>
        </w:tc>
      </w:tr>
      <w:tr w:rsidR="00AD55BD" w:rsidRPr="00AD55BD" w:rsidTr="00AD55BD">
        <w:trPr>
          <w:trHeight w:val="402"/>
        </w:trPr>
        <w:tc>
          <w:tcPr>
            <w:tcW w:w="5980" w:type="dxa"/>
            <w:tcBorders>
              <w:top w:val="nil"/>
              <w:left w:val="single" w:sz="8" w:space="0" w:color="auto"/>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rPr>
                <w:rFonts w:ascii="Calibri Light" w:eastAsia="Times New Roman" w:hAnsi="Calibri Light" w:cs="Times New Roman"/>
                <w:color w:val="000000"/>
              </w:rPr>
            </w:pPr>
            <w:r w:rsidRPr="00AD55BD">
              <w:rPr>
                <w:rFonts w:ascii="Calibri Light" w:eastAsia="Times New Roman" w:hAnsi="Calibri Light" w:cs="Times New Roman"/>
                <w:color w:val="000000"/>
              </w:rPr>
              <w:t xml:space="preserve">e. </w:t>
            </w:r>
            <w:r w:rsidRPr="00AD55BD">
              <w:rPr>
                <w:rFonts w:ascii="Calibri Light" w:eastAsia="Times New Roman" w:hAnsi="Calibri Light" w:cs="Times New Roman"/>
                <w:b/>
                <w:bCs/>
                <w:color w:val="000000"/>
              </w:rPr>
              <w:t>Total</w:t>
            </w:r>
          </w:p>
        </w:tc>
        <w:tc>
          <w:tcPr>
            <w:tcW w:w="2380" w:type="dxa"/>
            <w:tcBorders>
              <w:top w:val="nil"/>
              <w:left w:val="nil"/>
              <w:bottom w:val="single" w:sz="8" w:space="0" w:color="auto"/>
              <w:right w:val="single" w:sz="8" w:space="0" w:color="auto"/>
            </w:tcBorders>
            <w:shd w:val="clear" w:color="auto" w:fill="auto"/>
            <w:vAlign w:val="center"/>
            <w:hideMark/>
          </w:tcPr>
          <w:p w:rsidR="00AD55BD" w:rsidRPr="00AD55BD" w:rsidRDefault="00AD55BD" w:rsidP="00AD55BD">
            <w:pPr>
              <w:spacing w:after="0" w:line="240" w:lineRule="auto"/>
              <w:jc w:val="right"/>
              <w:rPr>
                <w:rFonts w:ascii="Calibri Light" w:eastAsia="Times New Roman" w:hAnsi="Calibri Light" w:cs="Times New Roman"/>
                <w:color w:val="000000"/>
              </w:rPr>
            </w:pPr>
            <w:r w:rsidRPr="00AD55BD">
              <w:rPr>
                <w:rFonts w:ascii="Calibri Light" w:eastAsia="Times New Roman" w:hAnsi="Calibri Light" w:cs="Times New Roman"/>
                <w:color w:val="000000"/>
              </w:rPr>
              <w:t>25,000</w:t>
            </w:r>
          </w:p>
        </w:tc>
      </w:tr>
    </w:tbl>
    <w:p w:rsidR="00AD55BD" w:rsidRDefault="00AD55BD" w:rsidP="00AD55BD">
      <w:pPr>
        <w:pStyle w:val="ListParagraph"/>
        <w:spacing w:after="0" w:line="240" w:lineRule="auto"/>
        <w:ind w:left="450"/>
        <w:rPr>
          <w:smallCaps/>
          <w:sz w:val="24"/>
        </w:rPr>
      </w:pPr>
    </w:p>
    <w:p w:rsidR="001A75E5" w:rsidRDefault="001A75E5" w:rsidP="001A75E5">
      <w:pPr>
        <w:pStyle w:val="ListParagraph"/>
        <w:spacing w:after="0" w:line="240" w:lineRule="auto"/>
        <w:ind w:left="450"/>
        <w:rPr>
          <w:smallCaps/>
          <w:sz w:val="24"/>
        </w:rPr>
      </w:pPr>
    </w:p>
    <w:p w:rsidR="000B6D46" w:rsidRDefault="000B6D46" w:rsidP="00D94568">
      <w:pPr>
        <w:spacing w:after="0" w:line="240" w:lineRule="auto"/>
      </w:pPr>
    </w:p>
    <w:p w:rsidR="001E3CEA" w:rsidRPr="00071208" w:rsidRDefault="001E3CEA" w:rsidP="001E3CEA">
      <w:pPr>
        <w:spacing w:after="120"/>
        <w:rPr>
          <w:rFonts w:asciiTheme="majorHAnsi" w:hAnsiTheme="majorHAnsi"/>
          <w:b/>
        </w:rPr>
      </w:pPr>
      <w:r w:rsidRPr="00071208">
        <w:rPr>
          <w:rFonts w:asciiTheme="majorHAnsi" w:hAnsiTheme="majorHAnsi"/>
          <w:b/>
        </w:rPr>
        <w:t>Amount requested from Save the Redwoods League:  $25,000</w:t>
      </w:r>
    </w:p>
    <w:p w:rsidR="001E3CEA" w:rsidRPr="00071208" w:rsidRDefault="001E3CEA" w:rsidP="001E3CEA">
      <w:pPr>
        <w:spacing w:after="120"/>
        <w:rPr>
          <w:rFonts w:asciiTheme="majorHAnsi" w:hAnsiTheme="majorHAnsi"/>
          <w:i/>
        </w:rPr>
      </w:pPr>
      <w:r w:rsidRPr="00071208">
        <w:rPr>
          <w:rFonts w:asciiTheme="majorHAnsi" w:hAnsiTheme="majorHAnsi"/>
          <w:i/>
        </w:rPr>
        <w:t>Budget Narrative:</w:t>
      </w:r>
    </w:p>
    <w:p w:rsidR="001E3CEA" w:rsidRPr="00A602AF" w:rsidRDefault="001E3CEA" w:rsidP="001E3CEA">
      <w:pPr>
        <w:tabs>
          <w:tab w:val="left" w:pos="90"/>
        </w:tabs>
        <w:spacing w:after="120"/>
        <w:ind w:left="360" w:hanging="360"/>
        <w:rPr>
          <w:rFonts w:asciiTheme="majorHAnsi" w:hAnsiTheme="majorHAnsi"/>
        </w:rPr>
      </w:pPr>
      <w:r w:rsidRPr="00A602AF">
        <w:rPr>
          <w:rFonts w:asciiTheme="majorHAnsi" w:hAnsiTheme="majorHAnsi"/>
        </w:rPr>
        <w:t>a.</w:t>
      </w:r>
      <w:r w:rsidRPr="00A602AF">
        <w:rPr>
          <w:rFonts w:asciiTheme="majorHAnsi" w:hAnsiTheme="majorHAnsi"/>
        </w:rPr>
        <w:tab/>
        <w:t>PI</w:t>
      </w:r>
      <w:r>
        <w:rPr>
          <w:rFonts w:asciiTheme="majorHAnsi" w:hAnsiTheme="majorHAnsi"/>
        </w:rPr>
        <w:t>:</w:t>
      </w:r>
      <w:r w:rsidRPr="00A602AF">
        <w:rPr>
          <w:rFonts w:asciiTheme="majorHAnsi" w:hAnsiTheme="majorHAnsi"/>
        </w:rPr>
        <w:t xml:space="preserve"> leading reporting tasks</w:t>
      </w:r>
      <w:r>
        <w:rPr>
          <w:rFonts w:asciiTheme="majorHAnsi" w:hAnsiTheme="majorHAnsi"/>
        </w:rPr>
        <w:t xml:space="preserve">; </w:t>
      </w:r>
      <w:r w:rsidRPr="00A602AF">
        <w:rPr>
          <w:rFonts w:asciiTheme="majorHAnsi" w:hAnsiTheme="majorHAnsi"/>
        </w:rPr>
        <w:t>Co-PI</w:t>
      </w:r>
      <w:r>
        <w:rPr>
          <w:rFonts w:asciiTheme="majorHAnsi" w:hAnsiTheme="majorHAnsi"/>
        </w:rPr>
        <w:t>:</w:t>
      </w:r>
      <w:r w:rsidRPr="00A602AF">
        <w:rPr>
          <w:rFonts w:asciiTheme="majorHAnsi" w:hAnsiTheme="majorHAnsi"/>
        </w:rPr>
        <w:t xml:space="preserve"> </w:t>
      </w:r>
      <w:r w:rsidR="00AD55BD">
        <w:rPr>
          <w:rFonts w:asciiTheme="majorHAnsi" w:hAnsiTheme="majorHAnsi"/>
        </w:rPr>
        <w:t>advising graduate student; Grad-student; analyzing data</w:t>
      </w:r>
    </w:p>
    <w:p w:rsidR="001E3CEA" w:rsidRPr="00A602AF" w:rsidRDefault="001E3CEA" w:rsidP="001E3CEA">
      <w:pPr>
        <w:tabs>
          <w:tab w:val="left" w:pos="90"/>
        </w:tabs>
        <w:spacing w:after="120"/>
        <w:ind w:left="360" w:hanging="360"/>
        <w:rPr>
          <w:rFonts w:asciiTheme="majorHAnsi" w:hAnsiTheme="majorHAnsi"/>
        </w:rPr>
      </w:pPr>
      <w:r w:rsidRPr="00A602AF">
        <w:rPr>
          <w:rFonts w:asciiTheme="majorHAnsi" w:hAnsiTheme="majorHAnsi"/>
        </w:rPr>
        <w:t>b.</w:t>
      </w:r>
      <w:r w:rsidRPr="00A602AF">
        <w:rPr>
          <w:rFonts w:asciiTheme="majorHAnsi" w:hAnsiTheme="majorHAnsi"/>
        </w:rPr>
        <w:tab/>
        <w:t xml:space="preserve">Fringe benefits for </w:t>
      </w:r>
      <w:r w:rsidR="00AD55BD">
        <w:rPr>
          <w:rFonts w:asciiTheme="majorHAnsi" w:hAnsiTheme="majorHAnsi"/>
        </w:rPr>
        <w:t xml:space="preserve">California </w:t>
      </w:r>
      <w:r w:rsidRPr="00A602AF">
        <w:rPr>
          <w:rFonts w:asciiTheme="majorHAnsi" w:hAnsiTheme="majorHAnsi"/>
        </w:rPr>
        <w:t xml:space="preserve">employees currently assessed at </w:t>
      </w:r>
      <w:r w:rsidR="00AD55BD">
        <w:rPr>
          <w:rFonts w:asciiTheme="majorHAnsi" w:hAnsiTheme="majorHAnsi"/>
        </w:rPr>
        <w:t>14</w:t>
      </w:r>
      <w:r w:rsidRPr="00A602AF">
        <w:rPr>
          <w:rFonts w:asciiTheme="majorHAnsi" w:hAnsiTheme="majorHAnsi"/>
        </w:rPr>
        <w:t>%</w:t>
      </w:r>
    </w:p>
    <w:p w:rsidR="001E3CEA" w:rsidRPr="00A602AF" w:rsidRDefault="00AD55BD" w:rsidP="001E3CEA">
      <w:pPr>
        <w:tabs>
          <w:tab w:val="left" w:pos="90"/>
        </w:tabs>
        <w:spacing w:after="120"/>
        <w:ind w:left="360" w:hanging="360"/>
        <w:rPr>
          <w:rFonts w:asciiTheme="majorHAnsi" w:hAnsiTheme="majorHAnsi"/>
        </w:rPr>
      </w:pPr>
      <w:r>
        <w:rPr>
          <w:rFonts w:asciiTheme="majorHAnsi" w:hAnsiTheme="majorHAnsi"/>
        </w:rPr>
        <w:t>c</w:t>
      </w:r>
      <w:r w:rsidR="001E3CEA" w:rsidRPr="00A602AF">
        <w:rPr>
          <w:rFonts w:asciiTheme="majorHAnsi" w:hAnsiTheme="majorHAnsi"/>
        </w:rPr>
        <w:t>.</w:t>
      </w:r>
      <w:r w:rsidR="001E3CEA" w:rsidRPr="00A602AF">
        <w:rPr>
          <w:rFonts w:asciiTheme="majorHAnsi" w:hAnsiTheme="majorHAnsi"/>
        </w:rPr>
        <w:tab/>
      </w:r>
      <w:r w:rsidR="001E3CEA">
        <w:rPr>
          <w:rFonts w:asciiTheme="majorHAnsi" w:hAnsiTheme="majorHAnsi"/>
        </w:rPr>
        <w:t xml:space="preserve">Open-access publication page charges; minor stationary and </w:t>
      </w:r>
      <w:r w:rsidR="001E3CEA" w:rsidRPr="00A602AF">
        <w:rPr>
          <w:rFonts w:asciiTheme="majorHAnsi" w:hAnsiTheme="majorHAnsi"/>
        </w:rPr>
        <w:t>consumables</w:t>
      </w:r>
      <w:r w:rsidR="001E3CEA">
        <w:rPr>
          <w:rFonts w:asciiTheme="majorHAnsi" w:hAnsiTheme="majorHAnsi"/>
        </w:rPr>
        <w:t xml:space="preserve">, as needed </w:t>
      </w:r>
    </w:p>
    <w:p w:rsidR="001E3CEA" w:rsidRPr="00A602AF" w:rsidRDefault="00AD55BD" w:rsidP="001E3CEA">
      <w:pPr>
        <w:tabs>
          <w:tab w:val="left" w:pos="90"/>
        </w:tabs>
        <w:spacing w:after="120"/>
        <w:ind w:left="360" w:hanging="360"/>
        <w:rPr>
          <w:rFonts w:asciiTheme="majorHAnsi" w:hAnsiTheme="majorHAnsi"/>
        </w:rPr>
      </w:pPr>
      <w:r>
        <w:rPr>
          <w:rFonts w:asciiTheme="majorHAnsi" w:hAnsiTheme="majorHAnsi"/>
        </w:rPr>
        <w:t>d</w:t>
      </w:r>
      <w:r w:rsidR="001E3CEA">
        <w:rPr>
          <w:rFonts w:asciiTheme="majorHAnsi" w:hAnsiTheme="majorHAnsi"/>
        </w:rPr>
        <w:t>.</w:t>
      </w:r>
      <w:r w:rsidR="001E3CEA">
        <w:rPr>
          <w:rFonts w:asciiTheme="majorHAnsi" w:hAnsiTheme="majorHAnsi"/>
        </w:rPr>
        <w:tab/>
        <w:t>Total direct costs</w:t>
      </w:r>
      <w:r w:rsidR="001E3CEA" w:rsidRPr="00A602AF">
        <w:rPr>
          <w:rFonts w:asciiTheme="majorHAnsi" w:hAnsiTheme="majorHAnsi"/>
        </w:rPr>
        <w:t xml:space="preserve"> exclusive of indirect costs.</w:t>
      </w:r>
    </w:p>
    <w:p w:rsidR="001E3CEA" w:rsidRDefault="00AD55BD" w:rsidP="001E3CEA">
      <w:pPr>
        <w:tabs>
          <w:tab w:val="left" w:pos="90"/>
        </w:tabs>
        <w:spacing w:after="120"/>
        <w:ind w:left="360" w:hanging="360"/>
        <w:rPr>
          <w:rFonts w:asciiTheme="majorHAnsi" w:hAnsiTheme="majorHAnsi"/>
        </w:rPr>
      </w:pPr>
      <w:r>
        <w:rPr>
          <w:rFonts w:asciiTheme="majorHAnsi" w:hAnsiTheme="majorHAnsi"/>
        </w:rPr>
        <w:t>e</w:t>
      </w:r>
      <w:r w:rsidR="001E3CEA" w:rsidRPr="00A602AF">
        <w:rPr>
          <w:rFonts w:asciiTheme="majorHAnsi" w:hAnsiTheme="majorHAnsi"/>
        </w:rPr>
        <w:t>.</w:t>
      </w:r>
      <w:r w:rsidR="001E3CEA" w:rsidRPr="00A602AF">
        <w:rPr>
          <w:rFonts w:asciiTheme="majorHAnsi" w:hAnsiTheme="majorHAnsi"/>
        </w:rPr>
        <w:tab/>
        <w:t xml:space="preserve">Total </w:t>
      </w:r>
      <w:r w:rsidR="001E3CEA">
        <w:rPr>
          <w:rFonts w:asciiTheme="majorHAnsi" w:hAnsiTheme="majorHAnsi"/>
        </w:rPr>
        <w:t xml:space="preserve">project cost is </w:t>
      </w:r>
      <w:r w:rsidR="001E3CEA" w:rsidRPr="00A602AF">
        <w:rPr>
          <w:rFonts w:asciiTheme="majorHAnsi" w:hAnsiTheme="majorHAnsi"/>
        </w:rPr>
        <w:t>s</w:t>
      </w:r>
      <w:r w:rsidR="00B94E6C">
        <w:rPr>
          <w:rFonts w:asciiTheme="majorHAnsi" w:hAnsiTheme="majorHAnsi"/>
        </w:rPr>
        <w:t>um of direct costs. Indirect costs are not allowed by Save the Redwoods League</w:t>
      </w:r>
      <w:r w:rsidR="00093560">
        <w:rPr>
          <w:rFonts w:asciiTheme="majorHAnsi" w:hAnsiTheme="majorHAnsi"/>
        </w:rPr>
        <w:t>.</w:t>
      </w:r>
    </w:p>
    <w:p w:rsidR="00A669BC" w:rsidRPr="00071208" w:rsidRDefault="00A669BC" w:rsidP="00A669BC">
      <w:pPr>
        <w:spacing w:after="120"/>
        <w:rPr>
          <w:rFonts w:asciiTheme="majorHAnsi" w:hAnsiTheme="majorHAnsi"/>
          <w:i/>
        </w:rPr>
      </w:pPr>
      <w:r w:rsidRPr="00071208">
        <w:rPr>
          <w:rFonts w:asciiTheme="majorHAnsi" w:hAnsiTheme="majorHAnsi"/>
          <w:i/>
        </w:rPr>
        <w:t>Additional contributions:</w:t>
      </w:r>
    </w:p>
    <w:p w:rsidR="00A669BC" w:rsidRDefault="00A669BC" w:rsidP="00A669BC">
      <w:pPr>
        <w:spacing w:after="120"/>
        <w:ind w:left="360"/>
        <w:rPr>
          <w:rFonts w:asciiTheme="majorHAnsi" w:hAnsiTheme="majorHAnsi"/>
        </w:rPr>
      </w:pPr>
      <w:r>
        <w:rPr>
          <w:rFonts w:asciiTheme="majorHAnsi" w:hAnsiTheme="majorHAnsi"/>
        </w:rPr>
        <w:t>Primary Investigator</w:t>
      </w:r>
      <w:r w:rsidR="00B96CCF">
        <w:rPr>
          <w:rFonts w:asciiTheme="majorHAnsi" w:hAnsiTheme="majorHAnsi"/>
        </w:rPr>
        <w:t xml:space="preserve">, Jason </w:t>
      </w:r>
      <w:proofErr w:type="spellStart"/>
      <w:r w:rsidR="00B96CCF">
        <w:rPr>
          <w:rFonts w:asciiTheme="majorHAnsi" w:hAnsiTheme="majorHAnsi"/>
        </w:rPr>
        <w:t>Teraoka</w:t>
      </w:r>
      <w:proofErr w:type="spellEnd"/>
      <w:r w:rsidR="00B96CCF">
        <w:rPr>
          <w:rFonts w:asciiTheme="majorHAnsi" w:hAnsiTheme="majorHAnsi"/>
        </w:rPr>
        <w:t xml:space="preserve">, and collaborator, Scott Powell, </w:t>
      </w:r>
      <w:r>
        <w:rPr>
          <w:rFonts w:asciiTheme="majorHAnsi" w:hAnsiTheme="majorHAnsi"/>
        </w:rPr>
        <w:t>employed by Redwood National Parks contribute non-reimbursed time to project for data preparation and cleaning, guidance during data analysis, and reporting.</w:t>
      </w:r>
    </w:p>
    <w:p w:rsidR="00AD55BD" w:rsidRDefault="00AD55BD" w:rsidP="00A669BC">
      <w:pPr>
        <w:spacing w:after="120"/>
        <w:ind w:left="360"/>
        <w:rPr>
          <w:rFonts w:asciiTheme="majorHAnsi" w:hAnsiTheme="majorHAnsi"/>
        </w:rPr>
      </w:pPr>
    </w:p>
    <w:p w:rsidR="00E63E5D" w:rsidRPr="00BF0366" w:rsidRDefault="0091236F" w:rsidP="00DA5B9D">
      <w:pPr>
        <w:pStyle w:val="ListParagraph"/>
        <w:numPr>
          <w:ilvl w:val="0"/>
          <w:numId w:val="1"/>
        </w:numPr>
        <w:spacing w:after="0" w:line="240" w:lineRule="auto"/>
        <w:ind w:left="450" w:hanging="450"/>
        <w:rPr>
          <w:smallCaps/>
          <w:sz w:val="24"/>
        </w:rPr>
      </w:pPr>
      <w:r>
        <w:rPr>
          <w:smallCaps/>
          <w:sz w:val="24"/>
        </w:rPr>
        <w:lastRenderedPageBreak/>
        <w:t>References</w:t>
      </w:r>
    </w:p>
    <w:p w:rsidR="004A5325" w:rsidRPr="001A05FB" w:rsidRDefault="004A5325" w:rsidP="007179E1">
      <w:pPr>
        <w:spacing w:after="80" w:line="240" w:lineRule="auto"/>
        <w:ind w:left="1080" w:hanging="360"/>
        <w:rPr>
          <w:rFonts w:cs="Times New Roman"/>
        </w:rPr>
      </w:pPr>
      <w:proofErr w:type="gramStart"/>
      <w:r w:rsidRPr="001A05FB">
        <w:rPr>
          <w:smallCaps/>
          <w:sz w:val="24"/>
        </w:rPr>
        <w:t>B</w:t>
      </w:r>
      <w:r w:rsidRPr="001A05FB">
        <w:rPr>
          <w:rFonts w:cs="Times New Roman"/>
        </w:rPr>
        <w:t xml:space="preserve">errill, J-P.; Beal, C.B.; </w:t>
      </w:r>
      <w:proofErr w:type="spellStart"/>
      <w:r w:rsidRPr="001A05FB">
        <w:rPr>
          <w:rFonts w:cs="Times New Roman"/>
        </w:rPr>
        <w:t>LaFever</w:t>
      </w:r>
      <w:proofErr w:type="spellEnd"/>
      <w:r w:rsidRPr="001A05FB">
        <w:rPr>
          <w:rFonts w:cs="Times New Roman"/>
        </w:rPr>
        <w:t xml:space="preserve">, D.H.; </w:t>
      </w:r>
      <w:proofErr w:type="spellStart"/>
      <w:r w:rsidRPr="001A05FB">
        <w:rPr>
          <w:rFonts w:cs="Times New Roman"/>
        </w:rPr>
        <w:t>Dagley</w:t>
      </w:r>
      <w:proofErr w:type="spellEnd"/>
      <w:r w:rsidRPr="001A05FB">
        <w:rPr>
          <w:rFonts w:cs="Times New Roman"/>
        </w:rPr>
        <w:t>, C.M. 2013.</w:t>
      </w:r>
      <w:proofErr w:type="gramEnd"/>
      <w:r w:rsidRPr="001A05FB">
        <w:rPr>
          <w:rFonts w:cs="Times New Roman"/>
        </w:rPr>
        <w:t xml:space="preserve"> Modeling young stand development towards the old-growth reference condition in evergreen mixed-conifer stands at Headwaters Forest Reserve, California. Forests 4(2): 455-470.</w:t>
      </w:r>
    </w:p>
    <w:p w:rsidR="004A5325" w:rsidRPr="0031177C" w:rsidRDefault="004A5325" w:rsidP="007179E1">
      <w:pPr>
        <w:spacing w:after="120"/>
        <w:ind w:left="1080" w:hanging="360"/>
        <w:rPr>
          <w:rFonts w:cs="Times New Roman"/>
        </w:rPr>
      </w:pPr>
      <w:proofErr w:type="gramStart"/>
      <w:r w:rsidRPr="0031177C">
        <w:rPr>
          <w:rFonts w:cs="Times New Roman"/>
        </w:rPr>
        <w:t>Berrill, J-P.; O’Hara, K.L. 2014.</w:t>
      </w:r>
      <w:proofErr w:type="gramEnd"/>
      <w:r w:rsidRPr="0031177C">
        <w:rPr>
          <w:rFonts w:cs="Times New Roman"/>
        </w:rPr>
        <w:t xml:space="preserve"> </w:t>
      </w:r>
      <w:proofErr w:type="gramStart"/>
      <w:r w:rsidRPr="0031177C">
        <w:rPr>
          <w:rFonts w:cs="Times New Roman"/>
        </w:rPr>
        <w:t>Estimating site productivity in irregular stand structures by indexing basal area or volume increment of the dominant species.</w:t>
      </w:r>
      <w:proofErr w:type="gramEnd"/>
      <w:r w:rsidRPr="0031177C">
        <w:rPr>
          <w:rFonts w:cs="Times New Roman"/>
        </w:rPr>
        <w:t xml:space="preserve"> Canadian Journal of Forest Research 44(1): 92-100.</w:t>
      </w:r>
    </w:p>
    <w:p w:rsidR="004A5325" w:rsidRDefault="004A5325" w:rsidP="003D7696">
      <w:pPr>
        <w:pStyle w:val="ListParagraph"/>
        <w:tabs>
          <w:tab w:val="left" w:pos="1170"/>
          <w:tab w:val="left" w:pos="1260"/>
        </w:tabs>
        <w:spacing w:after="120" w:line="240" w:lineRule="auto"/>
        <w:ind w:left="1080" w:hanging="360"/>
      </w:pPr>
      <w:proofErr w:type="spellStart"/>
      <w:r>
        <w:t>Berrill</w:t>
      </w:r>
      <w:proofErr w:type="spellEnd"/>
      <w:r>
        <w:t xml:space="preserve">, J-P; Perry, D.W.; </w:t>
      </w:r>
      <w:proofErr w:type="spellStart"/>
      <w:r>
        <w:t>Breshears</w:t>
      </w:r>
      <w:proofErr w:type="spellEnd"/>
      <w:r>
        <w:t>, L.W.</w:t>
      </w:r>
      <w:proofErr w:type="gramStart"/>
      <w:r>
        <w:t xml:space="preserve">;  </w:t>
      </w:r>
      <w:proofErr w:type="spellStart"/>
      <w:r>
        <w:t>Gradillas</w:t>
      </w:r>
      <w:proofErr w:type="spellEnd"/>
      <w:proofErr w:type="gramEnd"/>
      <w:r>
        <w:t xml:space="preserve">, G.E. 2017. Tree size, growth, and anatomical factors associated with bear damage in young coast redwood. </w:t>
      </w:r>
      <w:r w:rsidRPr="00FE2211">
        <w:t xml:space="preserve">Pp. </w:t>
      </w:r>
      <w:r>
        <w:t>326-328</w:t>
      </w:r>
      <w:r w:rsidRPr="00FE2211">
        <w:t xml:space="preserve"> in: </w:t>
      </w:r>
      <w:proofErr w:type="spellStart"/>
      <w:r w:rsidRPr="00FE2211">
        <w:t>Standiford</w:t>
      </w:r>
      <w:proofErr w:type="spellEnd"/>
      <w:r w:rsidRPr="00FE2211">
        <w:t xml:space="preserve">, R.B.; </w:t>
      </w:r>
      <w:proofErr w:type="spellStart"/>
      <w:r w:rsidRPr="00666104">
        <w:t>Valachovic</w:t>
      </w:r>
      <w:proofErr w:type="spellEnd"/>
      <w:r w:rsidRPr="00FE2211">
        <w:t xml:space="preserve">, Y., tech cords. 2017. Proc. of Coast redwood science symposium—2016: Past successes and future direction. </w:t>
      </w:r>
      <w:proofErr w:type="gramStart"/>
      <w:r w:rsidRPr="00FE2211">
        <w:t>USDA Forest Service Gen. Tech. Rep.</w:t>
      </w:r>
      <w:r>
        <w:t xml:space="preserve"> PSW-GTR-258.</w:t>
      </w:r>
      <w:proofErr w:type="gramEnd"/>
      <w:r>
        <w:t xml:space="preserve"> </w:t>
      </w:r>
      <w:proofErr w:type="gramStart"/>
      <w:r>
        <w:t>Albany, CA. 446 p</w:t>
      </w:r>
      <w:r w:rsidR="003D7696">
        <w:t>.</w:t>
      </w:r>
      <w:proofErr w:type="gramEnd"/>
    </w:p>
    <w:p w:rsidR="003D7696" w:rsidRPr="003D7696" w:rsidRDefault="003D7696" w:rsidP="003D7696">
      <w:pPr>
        <w:autoSpaceDE w:val="0"/>
        <w:autoSpaceDN w:val="0"/>
        <w:adjustRightInd w:val="0"/>
        <w:spacing w:after="120" w:line="240" w:lineRule="auto"/>
        <w:ind w:left="1080" w:hanging="360"/>
        <w:rPr>
          <w:rFonts w:cs="Times New Roman"/>
        </w:rPr>
      </w:pPr>
      <w:proofErr w:type="spellStart"/>
      <w:proofErr w:type="gramStart"/>
      <w:r w:rsidRPr="003D7696">
        <w:rPr>
          <w:rFonts w:cs="URWPalladioL-Roma"/>
        </w:rPr>
        <w:t>Calder</w:t>
      </w:r>
      <w:r w:rsidRPr="003D7696">
        <w:rPr>
          <w:rFonts w:cs="VnURWPalladioL"/>
        </w:rPr>
        <w:t>ó</w:t>
      </w:r>
      <w:r w:rsidRPr="003D7696">
        <w:rPr>
          <w:rFonts w:cs="URWPalladioL-Roma"/>
        </w:rPr>
        <w:t>n</w:t>
      </w:r>
      <w:proofErr w:type="spellEnd"/>
      <w:r w:rsidRPr="003D7696">
        <w:rPr>
          <w:rFonts w:cs="URWPalladioL-Roma"/>
        </w:rPr>
        <w:t>, O.A.A.; P</w:t>
      </w:r>
      <w:r w:rsidRPr="003D7696">
        <w:rPr>
          <w:rFonts w:cs="VnURWPalladioL"/>
        </w:rPr>
        <w:t>é</w:t>
      </w:r>
      <w:r w:rsidRPr="003D7696">
        <w:rPr>
          <w:rFonts w:cs="URWPalladioL-Roma"/>
        </w:rPr>
        <w:t>rez, J.J.; Kramer, H.</w:t>
      </w:r>
      <w:proofErr w:type="gramEnd"/>
      <w:r w:rsidRPr="003D7696">
        <w:rPr>
          <w:rFonts w:cs="URWPalladioL-Roma"/>
        </w:rPr>
        <w:t xml:space="preserve"> </w:t>
      </w:r>
      <w:r>
        <w:rPr>
          <w:rFonts w:cs="URWPalladioL-Roma"/>
        </w:rPr>
        <w:t xml:space="preserve"> 2006. </w:t>
      </w:r>
      <w:r w:rsidRPr="003D7696">
        <w:rPr>
          <w:rFonts w:cs="URWPalladioL-Roma"/>
        </w:rPr>
        <w:t xml:space="preserve">Assessment and monitoring of forest ecosystem </w:t>
      </w:r>
      <w:r>
        <w:rPr>
          <w:rFonts w:cs="URWPalladioL-Roma"/>
        </w:rPr>
        <w:t xml:space="preserve">              </w:t>
      </w:r>
      <w:r w:rsidRPr="003D7696">
        <w:rPr>
          <w:rFonts w:cs="URWPalladioL-Roma"/>
        </w:rPr>
        <w:t>structure. In</w:t>
      </w:r>
      <w:r>
        <w:rPr>
          <w:rFonts w:cs="URWPalladioL-Roma"/>
        </w:rPr>
        <w:t xml:space="preserve"> </w:t>
      </w:r>
      <w:r w:rsidRPr="003D7696">
        <w:rPr>
          <w:rFonts w:cs="URWPalladioL-Ital"/>
        </w:rPr>
        <w:t>Assessment and Monitoring of Forest Ecosystem Structure</w:t>
      </w:r>
      <w:r w:rsidRPr="003D7696">
        <w:rPr>
          <w:rFonts w:cs="URWPalladioL-Roma"/>
        </w:rPr>
        <w:t xml:space="preserve">; Aguirre-Bravo, C., </w:t>
      </w:r>
      <w:proofErr w:type="spellStart"/>
      <w:r w:rsidRPr="003D7696">
        <w:rPr>
          <w:rFonts w:cs="URWPalladioL-Roma"/>
        </w:rPr>
        <w:t>Pellicane</w:t>
      </w:r>
      <w:proofErr w:type="spellEnd"/>
      <w:r w:rsidRPr="003D7696">
        <w:rPr>
          <w:rFonts w:cs="URWPalladioL-Roma"/>
        </w:rPr>
        <w:t>, P.J., Burns, D.P.,</w:t>
      </w:r>
      <w:r>
        <w:rPr>
          <w:rFonts w:cs="URWPalladioL-Roma"/>
        </w:rPr>
        <w:t xml:space="preserve"> </w:t>
      </w:r>
      <w:proofErr w:type="spellStart"/>
      <w:r w:rsidRPr="003D7696">
        <w:rPr>
          <w:rFonts w:cs="URWPalladioL-Roma"/>
        </w:rPr>
        <w:t>Draggan</w:t>
      </w:r>
      <w:proofErr w:type="spellEnd"/>
      <w:r w:rsidRPr="003D7696">
        <w:rPr>
          <w:rFonts w:cs="URWPalladioL-Roma"/>
        </w:rPr>
        <w:t>, S., Eds.; Monitoring Science and Technology Symposium: Unifying Knowledge for Sustainability</w:t>
      </w:r>
      <w:r>
        <w:rPr>
          <w:rFonts w:cs="URWPalladioL-Roma"/>
        </w:rPr>
        <w:t xml:space="preserve"> </w:t>
      </w:r>
      <w:r w:rsidRPr="003D7696">
        <w:rPr>
          <w:rFonts w:cs="URWPalladioL-Roma"/>
        </w:rPr>
        <w:t>in the</w:t>
      </w:r>
      <w:r>
        <w:rPr>
          <w:rFonts w:cs="URWPalladioL-Roma"/>
        </w:rPr>
        <w:t xml:space="preserve"> </w:t>
      </w:r>
      <w:r w:rsidRPr="003D7696">
        <w:rPr>
          <w:rFonts w:cs="URWPalladioL-Roma"/>
        </w:rPr>
        <w:t>Western Hemisphere Proceedings RMRS-P-42CD; US Department of Agriculture, Forest Service, Rocky</w:t>
      </w:r>
      <w:r>
        <w:rPr>
          <w:rFonts w:cs="URWPalladioL-Roma"/>
        </w:rPr>
        <w:t xml:space="preserve"> </w:t>
      </w:r>
      <w:r w:rsidRPr="003D7696">
        <w:rPr>
          <w:rFonts w:cs="URWPalladioL-Roma"/>
        </w:rPr>
        <w:t>Mountain Research Station: Fort Collins, CO, USA</w:t>
      </w:r>
      <w:r>
        <w:rPr>
          <w:rFonts w:cs="URWPalladioL-Roma"/>
        </w:rPr>
        <w:t xml:space="preserve">. </w:t>
      </w:r>
      <w:proofErr w:type="gramStart"/>
      <w:r>
        <w:rPr>
          <w:rFonts w:cs="URWPalladioL-Roma"/>
        </w:rPr>
        <w:t>990 p.</w:t>
      </w:r>
      <w:proofErr w:type="gramEnd"/>
    </w:p>
    <w:p w:rsidR="004A5325" w:rsidRPr="0031177C" w:rsidRDefault="004A5325" w:rsidP="003D7696">
      <w:pPr>
        <w:spacing w:after="120"/>
        <w:ind w:left="1080" w:hanging="360"/>
        <w:rPr>
          <w:rFonts w:cs="Times New Roman"/>
        </w:rPr>
      </w:pPr>
      <w:proofErr w:type="spellStart"/>
      <w:proofErr w:type="gramStart"/>
      <w:r w:rsidRPr="0031177C">
        <w:rPr>
          <w:rFonts w:cs="Times New Roman"/>
        </w:rPr>
        <w:t>Chittick</w:t>
      </w:r>
      <w:proofErr w:type="spellEnd"/>
      <w:r w:rsidRPr="0031177C">
        <w:rPr>
          <w:rFonts w:cs="Times New Roman"/>
        </w:rPr>
        <w:t>, A.J.; Keyes, C.R. 2007.</w:t>
      </w:r>
      <w:proofErr w:type="gramEnd"/>
      <w:r w:rsidRPr="0031177C">
        <w:rPr>
          <w:rFonts w:cs="Times New Roman"/>
        </w:rPr>
        <w:t xml:space="preserve"> </w:t>
      </w:r>
      <w:proofErr w:type="spellStart"/>
      <w:r w:rsidRPr="0031177C">
        <w:rPr>
          <w:rFonts w:cs="Times New Roman"/>
        </w:rPr>
        <w:t>Holter</w:t>
      </w:r>
      <w:proofErr w:type="spellEnd"/>
      <w:r w:rsidRPr="0031177C">
        <w:rPr>
          <w:rFonts w:cs="Times New Roman"/>
        </w:rPr>
        <w:t xml:space="preserve"> Ridge Thinning Study, Redwood National Park: Preliminary results of a 25-year retrospective.  In:</w:t>
      </w:r>
      <w:r w:rsidRPr="0031177C">
        <w:t xml:space="preserve"> </w:t>
      </w:r>
      <w:proofErr w:type="spellStart"/>
      <w:r w:rsidRPr="0031177C">
        <w:rPr>
          <w:rFonts w:cs="Times New Roman"/>
        </w:rPr>
        <w:t>Standiford</w:t>
      </w:r>
      <w:proofErr w:type="spellEnd"/>
      <w:r w:rsidRPr="0031177C">
        <w:rPr>
          <w:rFonts w:cs="Times New Roman"/>
        </w:rPr>
        <w:t xml:space="preserve">, R.B.; </w:t>
      </w:r>
      <w:proofErr w:type="spellStart"/>
      <w:r w:rsidRPr="0031177C">
        <w:rPr>
          <w:rFonts w:cs="Times New Roman"/>
        </w:rPr>
        <w:t>Giusti</w:t>
      </w:r>
      <w:proofErr w:type="spellEnd"/>
      <w:r w:rsidRPr="0031177C">
        <w:rPr>
          <w:rFonts w:cs="Times New Roman"/>
        </w:rPr>
        <w:t xml:space="preserve">, G.A.; </w:t>
      </w:r>
      <w:proofErr w:type="spellStart"/>
      <w:r w:rsidRPr="0031177C">
        <w:rPr>
          <w:rFonts w:cs="Times New Roman"/>
        </w:rPr>
        <w:t>Valachovic</w:t>
      </w:r>
      <w:proofErr w:type="spellEnd"/>
      <w:r w:rsidRPr="0031177C">
        <w:rPr>
          <w:rFonts w:cs="Times New Roman"/>
        </w:rPr>
        <w:t xml:space="preserve">, Y.; Zielinski, W.J.; </w:t>
      </w:r>
      <w:proofErr w:type="spellStart"/>
      <w:r w:rsidRPr="0031177C">
        <w:rPr>
          <w:rFonts w:cs="Times New Roman"/>
        </w:rPr>
        <w:t>Furniss</w:t>
      </w:r>
      <w:proofErr w:type="spellEnd"/>
      <w:r w:rsidRPr="0031177C">
        <w:rPr>
          <w:rFonts w:cs="Times New Roman"/>
        </w:rPr>
        <w:t xml:space="preserve">, M.J., technical editors.  Proceedings of the Redwood Science Symposium: What does the future hold? </w:t>
      </w:r>
      <w:proofErr w:type="gramStart"/>
      <w:r w:rsidRPr="0031177C">
        <w:rPr>
          <w:rFonts w:cs="Times New Roman"/>
        </w:rPr>
        <w:t>Gen. Tech. Rep. PSW-GTR-194.</w:t>
      </w:r>
      <w:proofErr w:type="gramEnd"/>
      <w:r w:rsidRPr="0031177C">
        <w:rPr>
          <w:rFonts w:cs="Times New Roman"/>
        </w:rPr>
        <w:t xml:space="preserve"> Albany, CA: U.S. Department of Agriculture, Forest Service, </w:t>
      </w:r>
      <w:proofErr w:type="gramStart"/>
      <w:r w:rsidRPr="0031177C">
        <w:rPr>
          <w:rFonts w:cs="Times New Roman"/>
        </w:rPr>
        <w:t>Pacific</w:t>
      </w:r>
      <w:proofErr w:type="gramEnd"/>
      <w:r w:rsidRPr="0031177C">
        <w:rPr>
          <w:rFonts w:cs="Times New Roman"/>
        </w:rPr>
        <w:t xml:space="preserve"> Southwest Research Station: 533 p.</w:t>
      </w:r>
    </w:p>
    <w:p w:rsidR="004A5325" w:rsidRPr="0031177C" w:rsidRDefault="004A5325" w:rsidP="007179E1">
      <w:pPr>
        <w:spacing w:after="120"/>
        <w:ind w:left="1080" w:hanging="360"/>
      </w:pPr>
      <w:proofErr w:type="spellStart"/>
      <w:proofErr w:type="gramStart"/>
      <w:r w:rsidRPr="0031177C">
        <w:rPr>
          <w:rFonts w:cs="Times New Roman"/>
        </w:rPr>
        <w:t>D</w:t>
      </w:r>
      <w:r w:rsidRPr="0031177C">
        <w:t>agley</w:t>
      </w:r>
      <w:proofErr w:type="spellEnd"/>
      <w:r w:rsidRPr="0031177C">
        <w:t xml:space="preserve">, C.M.; </w:t>
      </w:r>
      <w:proofErr w:type="spellStart"/>
      <w:r w:rsidRPr="0031177C">
        <w:t>Berrill</w:t>
      </w:r>
      <w:proofErr w:type="spellEnd"/>
      <w:r w:rsidRPr="0031177C">
        <w:t>, J-P.; Leonard, L.P.; Kim.</w:t>
      </w:r>
      <w:proofErr w:type="gramEnd"/>
      <w:r w:rsidRPr="0031177C">
        <w:t xml:space="preserve"> </w:t>
      </w:r>
      <w:proofErr w:type="gramStart"/>
      <w:r w:rsidRPr="0031177C">
        <w:t>Y.G. 2018.</w:t>
      </w:r>
      <w:proofErr w:type="gramEnd"/>
      <w:r w:rsidRPr="0031177C">
        <w:t xml:space="preserve"> Restoration thinning enhances growth and diversity in mixed redwood/Douglas-fir stands in northern California, USA. Restoration Ecology 26(6): 1170-1179.</w:t>
      </w:r>
    </w:p>
    <w:p w:rsidR="004A5325" w:rsidRDefault="004A5325" w:rsidP="007179E1">
      <w:pPr>
        <w:spacing w:after="120"/>
        <w:ind w:left="1080" w:hanging="360"/>
      </w:pPr>
      <w:proofErr w:type="spellStart"/>
      <w:r w:rsidRPr="0031177C">
        <w:t>Giusti</w:t>
      </w:r>
      <w:proofErr w:type="spellEnd"/>
      <w:r w:rsidRPr="0031177C">
        <w:t xml:space="preserve">, G.A. 1988. </w:t>
      </w:r>
      <w:proofErr w:type="gramStart"/>
      <w:r w:rsidRPr="0031177C">
        <w:t>Recognizing black bear damage to second growth redwoods.</w:t>
      </w:r>
      <w:proofErr w:type="gramEnd"/>
      <w:r w:rsidRPr="0031177C">
        <w:t xml:space="preserve"> </w:t>
      </w:r>
      <w:proofErr w:type="gramStart"/>
      <w:r w:rsidRPr="0031177C">
        <w:t>13th vertebrate pest conference.</w:t>
      </w:r>
      <w:proofErr w:type="gramEnd"/>
      <w:r w:rsidRPr="0031177C">
        <w:t xml:space="preserve"> University of California-Davis, CA.</w:t>
      </w:r>
    </w:p>
    <w:p w:rsidR="004A5325" w:rsidRDefault="004A5325" w:rsidP="007179E1">
      <w:pPr>
        <w:spacing w:after="120"/>
        <w:ind w:left="1080" w:hanging="360"/>
      </w:pPr>
      <w:proofErr w:type="spellStart"/>
      <w:proofErr w:type="gramStart"/>
      <w:r>
        <w:t>H</w:t>
      </w:r>
      <w:r w:rsidRPr="00C534F2">
        <w:t>osack</w:t>
      </w:r>
      <w:proofErr w:type="spellEnd"/>
      <w:r>
        <w:t>,</w:t>
      </w:r>
      <w:r w:rsidRPr="00C534F2">
        <w:t xml:space="preserve"> D</w:t>
      </w:r>
      <w:r>
        <w:t>.</w:t>
      </w:r>
      <w:r w:rsidRPr="00C534F2">
        <w:t>A</w:t>
      </w:r>
      <w:r>
        <w:t>.;</w:t>
      </w:r>
      <w:r w:rsidRPr="00C534F2">
        <w:t xml:space="preserve"> </w:t>
      </w:r>
      <w:proofErr w:type="spellStart"/>
      <w:r w:rsidRPr="00C534F2">
        <w:t>Fulgham</w:t>
      </w:r>
      <w:proofErr w:type="spellEnd"/>
      <w:r>
        <w:t>,</w:t>
      </w:r>
      <w:r w:rsidRPr="00C534F2">
        <w:t xml:space="preserve"> K</w:t>
      </w:r>
      <w:r>
        <w:t>.</w:t>
      </w:r>
      <w:r w:rsidRPr="00C534F2">
        <w:t>O</w:t>
      </w:r>
      <w:r>
        <w:t>.</w:t>
      </w:r>
      <w:r w:rsidRPr="00C534F2">
        <w:t xml:space="preserve"> 1998</w:t>
      </w:r>
      <w:r>
        <w:t>.</w:t>
      </w:r>
      <w:proofErr w:type="gramEnd"/>
      <w:r w:rsidRPr="00C534F2">
        <w:t xml:space="preserve"> </w:t>
      </w:r>
      <w:r w:rsidRPr="007079B3">
        <w:t>Black bear damage to regenerating conifers in Northwestern California. J</w:t>
      </w:r>
      <w:r>
        <w:t>ournal of</w:t>
      </w:r>
      <w:r w:rsidRPr="007079B3">
        <w:t xml:space="preserve"> Wildl</w:t>
      </w:r>
      <w:r>
        <w:t>ife Research 1:</w:t>
      </w:r>
      <w:r w:rsidRPr="007079B3">
        <w:t>32-37</w:t>
      </w:r>
    </w:p>
    <w:p w:rsidR="004A5325" w:rsidRDefault="004A5325" w:rsidP="007179E1">
      <w:pPr>
        <w:spacing w:after="120"/>
        <w:ind w:left="1080" w:hanging="360"/>
      </w:pPr>
      <w:proofErr w:type="gramStart"/>
      <w:r>
        <w:t>Ki</w:t>
      </w:r>
      <w:r w:rsidRPr="00CB7E55">
        <w:t>mball</w:t>
      </w:r>
      <w:r>
        <w:t>,</w:t>
      </w:r>
      <w:r w:rsidRPr="00CB7E55">
        <w:t xml:space="preserve"> B</w:t>
      </w:r>
      <w:r>
        <w:t>.</w:t>
      </w:r>
      <w:r w:rsidRPr="00CB7E55">
        <w:t>A</w:t>
      </w:r>
      <w:r>
        <w:t xml:space="preserve">.; </w:t>
      </w:r>
      <w:r w:rsidRPr="00CB7E55">
        <w:t>Nolte</w:t>
      </w:r>
      <w:r>
        <w:t>,</w:t>
      </w:r>
      <w:r w:rsidRPr="00CB7E55">
        <w:t xml:space="preserve"> D</w:t>
      </w:r>
      <w:r>
        <w:t>.</w:t>
      </w:r>
      <w:r w:rsidRPr="00CB7E55">
        <w:t>L</w:t>
      </w:r>
      <w:r>
        <w:t xml:space="preserve">.; </w:t>
      </w:r>
      <w:proofErr w:type="spellStart"/>
      <w:r w:rsidRPr="00CB7E55">
        <w:t>Engeman</w:t>
      </w:r>
      <w:proofErr w:type="spellEnd"/>
      <w:r>
        <w:t>,</w:t>
      </w:r>
      <w:r w:rsidRPr="00CB7E55">
        <w:t xml:space="preserve"> R</w:t>
      </w:r>
      <w:r>
        <w:t>.</w:t>
      </w:r>
      <w:r w:rsidRPr="00CB7E55">
        <w:t>M</w:t>
      </w:r>
      <w:r>
        <w:t>.;</w:t>
      </w:r>
      <w:r w:rsidRPr="00CB7E55">
        <w:t xml:space="preserve"> Johnston</w:t>
      </w:r>
      <w:r>
        <w:t xml:space="preserve">, </w:t>
      </w:r>
      <w:r w:rsidRPr="00CB7E55">
        <w:t>J</w:t>
      </w:r>
      <w:r>
        <w:t>.</w:t>
      </w:r>
      <w:r w:rsidRPr="00CB7E55">
        <w:t>J</w:t>
      </w:r>
      <w:r>
        <w:t>.;</w:t>
      </w:r>
      <w:r w:rsidRPr="00CB7E55">
        <w:t xml:space="preserve"> Frank</w:t>
      </w:r>
      <w:r>
        <w:t xml:space="preserve">, </w:t>
      </w:r>
      <w:r w:rsidRPr="00CB7E55">
        <w:t>R</w:t>
      </w:r>
      <w:r>
        <w:t>. 2008.</w:t>
      </w:r>
      <w:proofErr w:type="gramEnd"/>
      <w:r w:rsidRPr="00CB7E55">
        <w:t xml:space="preserve"> </w:t>
      </w:r>
      <w:proofErr w:type="gramStart"/>
      <w:r w:rsidRPr="00CB7E55">
        <w:t>Chemically mediated foraging preference of black bears (</w:t>
      </w:r>
      <w:proofErr w:type="spellStart"/>
      <w:r w:rsidRPr="00500C3A">
        <w:rPr>
          <w:i/>
        </w:rPr>
        <w:t>Ursus</w:t>
      </w:r>
      <w:proofErr w:type="spellEnd"/>
      <w:r w:rsidRPr="00500C3A">
        <w:rPr>
          <w:i/>
        </w:rPr>
        <w:t xml:space="preserve"> </w:t>
      </w:r>
      <w:proofErr w:type="spellStart"/>
      <w:r w:rsidRPr="00500C3A">
        <w:rPr>
          <w:i/>
        </w:rPr>
        <w:t>americanus</w:t>
      </w:r>
      <w:proofErr w:type="spellEnd"/>
      <w:r w:rsidRPr="00CB7E55">
        <w:t>).</w:t>
      </w:r>
      <w:proofErr w:type="gramEnd"/>
      <w:r w:rsidRPr="00CB7E55">
        <w:t xml:space="preserve"> J</w:t>
      </w:r>
      <w:r>
        <w:t xml:space="preserve">ournal of </w:t>
      </w:r>
      <w:proofErr w:type="spellStart"/>
      <w:r w:rsidRPr="00CB7E55">
        <w:t>Mammal</w:t>
      </w:r>
      <w:r>
        <w:t>ogy</w:t>
      </w:r>
      <w:proofErr w:type="spellEnd"/>
      <w:r>
        <w:t xml:space="preserve"> </w:t>
      </w:r>
      <w:r w:rsidRPr="00CB7E55">
        <w:t>79</w:t>
      </w:r>
      <w:r>
        <w:t>:</w:t>
      </w:r>
      <w:r w:rsidRPr="00CB7E55">
        <w:t xml:space="preserve"> 448</w:t>
      </w:r>
      <w:r>
        <w:t>-</w:t>
      </w:r>
      <w:r w:rsidRPr="00CB7E55">
        <w:t>456</w:t>
      </w:r>
    </w:p>
    <w:p w:rsidR="004A5325" w:rsidRDefault="004A5325" w:rsidP="007179E1">
      <w:pPr>
        <w:pStyle w:val="ListParagraph"/>
        <w:spacing w:after="120"/>
        <w:ind w:left="1080" w:hanging="360"/>
      </w:pPr>
      <w:proofErr w:type="spellStart"/>
      <w:r w:rsidRPr="00666104">
        <w:rPr>
          <w:smallCaps/>
        </w:rPr>
        <w:t>K</w:t>
      </w:r>
      <w:r w:rsidRPr="00666104">
        <w:t>uehne</w:t>
      </w:r>
      <w:proofErr w:type="spellEnd"/>
      <w:r>
        <w:t>,</w:t>
      </w:r>
      <w:r w:rsidRPr="00666104">
        <w:t xml:space="preserve"> C</w:t>
      </w:r>
      <w:r>
        <w:t xml:space="preserve">.; </w:t>
      </w:r>
      <w:proofErr w:type="spellStart"/>
      <w:r w:rsidRPr="00666104">
        <w:t>Weiskittel</w:t>
      </w:r>
      <w:proofErr w:type="spellEnd"/>
      <w:r>
        <w:t>,</w:t>
      </w:r>
      <w:r w:rsidRPr="00666104">
        <w:t xml:space="preserve"> A</w:t>
      </w:r>
      <w:r>
        <w:t xml:space="preserve">.; </w:t>
      </w:r>
      <w:proofErr w:type="spellStart"/>
      <w:r w:rsidRPr="00666104">
        <w:t>Pommerening</w:t>
      </w:r>
      <w:proofErr w:type="spellEnd"/>
      <w:r>
        <w:t>,</w:t>
      </w:r>
      <w:r w:rsidRPr="00666104">
        <w:t xml:space="preserve"> A</w:t>
      </w:r>
      <w:r>
        <w:t xml:space="preserve">.; </w:t>
      </w:r>
      <w:r w:rsidRPr="00666104">
        <w:t>Wagner</w:t>
      </w:r>
      <w:r>
        <w:t xml:space="preserve">, </w:t>
      </w:r>
      <w:r w:rsidRPr="00666104">
        <w:t xml:space="preserve"> R</w:t>
      </w:r>
      <w:r>
        <w:t>.</w:t>
      </w:r>
      <w:r w:rsidRPr="00666104">
        <w:t>G</w:t>
      </w:r>
      <w:r>
        <w:t>.</w:t>
      </w:r>
      <w:r w:rsidRPr="00666104">
        <w:t xml:space="preserve"> 2018</w:t>
      </w:r>
      <w:r>
        <w:t xml:space="preserve"> Evaluation of 10-year temporal and spatial variability in structure and growth across contrasting commercial thinning treatments in spruce-fir forests of northern Maine, USA. Annals of Forest Science 75:20</w:t>
      </w:r>
      <w:r w:rsidRPr="00666104">
        <w:t xml:space="preserve"> </w:t>
      </w:r>
    </w:p>
    <w:p w:rsidR="004A5325" w:rsidRDefault="004A5325" w:rsidP="007179E1">
      <w:pPr>
        <w:pStyle w:val="ListParagraph"/>
        <w:spacing w:after="120"/>
        <w:ind w:left="1080" w:hanging="360"/>
      </w:pPr>
      <w:r w:rsidRPr="0031177C">
        <w:t>O’Hara, K.L.; Nesmith, J.C.B.; Leonard, L.; Porter, D.J. 2010 Restoration of old forest features in coast redwood forests using early</w:t>
      </w:r>
      <w:r w:rsidRPr="0031177C">
        <w:rPr>
          <w:rFonts w:cs="Cambria Math"/>
        </w:rPr>
        <w:t>‐</w:t>
      </w:r>
      <w:r w:rsidRPr="0031177C">
        <w:t>stage variable</w:t>
      </w:r>
      <w:r w:rsidRPr="0031177C">
        <w:rPr>
          <w:rFonts w:cs="Cambria Math"/>
        </w:rPr>
        <w:t>‐</w:t>
      </w:r>
      <w:r w:rsidRPr="0031177C">
        <w:t>density thinning. Restoration Ecology 18:125-135</w:t>
      </w:r>
    </w:p>
    <w:p w:rsidR="004A5325" w:rsidRPr="00FB034D" w:rsidRDefault="004A5325" w:rsidP="007179E1">
      <w:pPr>
        <w:pStyle w:val="ListParagraph"/>
        <w:spacing w:after="120"/>
        <w:ind w:left="1080" w:hanging="360"/>
        <w:rPr>
          <w:rFonts w:cs="Times New Roman"/>
        </w:rPr>
      </w:pPr>
      <w:proofErr w:type="gramStart"/>
      <w:r w:rsidRPr="00FB034D">
        <w:t>O’</w:t>
      </w:r>
      <w:r w:rsidRPr="00FB034D">
        <w:rPr>
          <w:rFonts w:cs="Times New Roman"/>
        </w:rPr>
        <w:t>Hara, K.L.; Leonard, l.; Keyes, C.R. 2012.</w:t>
      </w:r>
      <w:proofErr w:type="gramEnd"/>
      <w:r w:rsidRPr="00FB034D">
        <w:rPr>
          <w:rFonts w:cs="Times New Roman"/>
        </w:rPr>
        <w:t xml:space="preserve"> Variable-density thinning and a marking paradox: Comparing prescription protocols to attain stand variability in coast redwood. Western Journal of Applied Forestry 27(3): 143-149 </w:t>
      </w:r>
    </w:p>
    <w:p w:rsidR="004A5325" w:rsidRPr="00FB034D" w:rsidRDefault="004A5325" w:rsidP="007179E1">
      <w:pPr>
        <w:shd w:val="clear" w:color="auto" w:fill="FFFFFF"/>
        <w:spacing w:after="120" w:line="240" w:lineRule="auto"/>
        <w:ind w:left="1080" w:hanging="360"/>
        <w:rPr>
          <w:rFonts w:eastAsia="Times New Roman" w:cs="Times New Roman"/>
          <w:color w:val="222222"/>
        </w:rPr>
      </w:pPr>
      <w:r w:rsidRPr="0005788F">
        <w:rPr>
          <w:rFonts w:eastAsia="Times New Roman" w:cs="Times New Roman"/>
          <w:color w:val="222222"/>
        </w:rPr>
        <w:lastRenderedPageBreak/>
        <w:t>O’Hara, K.L.</w:t>
      </w:r>
      <w:proofErr w:type="gramStart"/>
      <w:r w:rsidRPr="00FB034D">
        <w:rPr>
          <w:rFonts w:eastAsia="Times New Roman" w:cs="Times New Roman"/>
          <w:color w:val="222222"/>
        </w:rPr>
        <w:t xml:space="preserve">;  </w:t>
      </w:r>
      <w:r w:rsidRPr="0005788F">
        <w:rPr>
          <w:rFonts w:eastAsia="Times New Roman" w:cs="Times New Roman"/>
          <w:color w:val="222222"/>
        </w:rPr>
        <w:t>Narayan</w:t>
      </w:r>
      <w:proofErr w:type="gramEnd"/>
      <w:r w:rsidRPr="0005788F">
        <w:rPr>
          <w:rFonts w:eastAsia="Times New Roman" w:cs="Times New Roman"/>
          <w:color w:val="222222"/>
        </w:rPr>
        <w:t xml:space="preserve">, </w:t>
      </w:r>
      <w:r w:rsidRPr="00FB034D">
        <w:rPr>
          <w:rFonts w:eastAsia="Times New Roman" w:cs="Times New Roman"/>
          <w:color w:val="222222"/>
        </w:rPr>
        <w:t xml:space="preserve">L.; </w:t>
      </w:r>
      <w:r w:rsidRPr="0005788F">
        <w:rPr>
          <w:rFonts w:eastAsia="Times New Roman" w:cs="Times New Roman"/>
          <w:color w:val="222222"/>
        </w:rPr>
        <w:t xml:space="preserve">Cahill, K.G. 2015. </w:t>
      </w:r>
      <w:proofErr w:type="gramStart"/>
      <w:r w:rsidRPr="0005788F">
        <w:rPr>
          <w:rFonts w:eastAsia="Times New Roman" w:cs="Times New Roman"/>
          <w:color w:val="222222"/>
        </w:rPr>
        <w:t xml:space="preserve">Twelve-year response of coast redwood to </w:t>
      </w:r>
      <w:proofErr w:type="spellStart"/>
      <w:r w:rsidRPr="0005788F">
        <w:rPr>
          <w:rFonts w:eastAsia="Times New Roman" w:cs="Times New Roman"/>
          <w:color w:val="222222"/>
        </w:rPr>
        <w:t>precommercial</w:t>
      </w:r>
      <w:proofErr w:type="spellEnd"/>
      <w:r w:rsidRPr="0005788F">
        <w:rPr>
          <w:rFonts w:eastAsia="Times New Roman" w:cs="Times New Roman"/>
          <w:color w:val="222222"/>
        </w:rPr>
        <w:t xml:space="preserve"> thinning treatments.</w:t>
      </w:r>
      <w:proofErr w:type="gramEnd"/>
      <w:r w:rsidRPr="0005788F">
        <w:rPr>
          <w:rFonts w:eastAsia="Times New Roman" w:cs="Times New Roman"/>
          <w:color w:val="222222"/>
        </w:rPr>
        <w:t> </w:t>
      </w:r>
      <w:r w:rsidRPr="00FB034D">
        <w:rPr>
          <w:rFonts w:eastAsia="Times New Roman" w:cs="Times New Roman"/>
          <w:color w:val="222222"/>
        </w:rPr>
        <w:t>Forest Science</w:t>
      </w:r>
      <w:r w:rsidRPr="0005788F">
        <w:rPr>
          <w:rFonts w:eastAsia="Times New Roman" w:cs="Times New Roman"/>
          <w:color w:val="222222"/>
        </w:rPr>
        <w:t> 61(4):780-789.</w:t>
      </w:r>
    </w:p>
    <w:p w:rsidR="004A5325" w:rsidRPr="00FB034D" w:rsidRDefault="004A5325" w:rsidP="007179E1">
      <w:pPr>
        <w:shd w:val="clear" w:color="auto" w:fill="FFFFFF"/>
        <w:spacing w:after="120" w:line="240" w:lineRule="auto"/>
        <w:ind w:left="1080" w:hanging="360"/>
        <w:rPr>
          <w:rFonts w:eastAsia="Times New Roman" w:cs="Times New Roman"/>
          <w:color w:val="222222"/>
        </w:rPr>
      </w:pPr>
      <w:proofErr w:type="gramStart"/>
      <w:r w:rsidRPr="00FB034D">
        <w:rPr>
          <w:rFonts w:eastAsia="Times New Roman" w:cs="Times New Roman"/>
          <w:color w:val="222222"/>
        </w:rPr>
        <w:t>O</w:t>
      </w:r>
      <w:r w:rsidRPr="0005788F">
        <w:rPr>
          <w:rFonts w:eastAsia="Times New Roman" w:cs="Times New Roman"/>
          <w:color w:val="222222"/>
        </w:rPr>
        <w:t>liver, W.W.</w:t>
      </w:r>
      <w:r w:rsidRPr="00FB034D">
        <w:rPr>
          <w:rFonts w:eastAsia="Times New Roman" w:cs="Times New Roman"/>
          <w:color w:val="222222"/>
        </w:rPr>
        <w:t xml:space="preserve">; </w:t>
      </w:r>
      <w:r w:rsidRPr="0005788F">
        <w:rPr>
          <w:rFonts w:eastAsia="Times New Roman" w:cs="Times New Roman"/>
          <w:color w:val="222222"/>
        </w:rPr>
        <w:t>Lindquist, J.L.</w:t>
      </w:r>
      <w:r w:rsidRPr="00FB034D">
        <w:rPr>
          <w:rFonts w:eastAsia="Times New Roman" w:cs="Times New Roman"/>
          <w:color w:val="222222"/>
        </w:rPr>
        <w:t xml:space="preserve">; </w:t>
      </w:r>
      <w:proofErr w:type="spellStart"/>
      <w:r w:rsidRPr="0005788F">
        <w:rPr>
          <w:rFonts w:eastAsia="Times New Roman" w:cs="Times New Roman"/>
          <w:color w:val="222222"/>
        </w:rPr>
        <w:t>Strothmann</w:t>
      </w:r>
      <w:proofErr w:type="spellEnd"/>
      <w:r w:rsidRPr="0005788F">
        <w:rPr>
          <w:rFonts w:eastAsia="Times New Roman" w:cs="Times New Roman"/>
          <w:color w:val="222222"/>
        </w:rPr>
        <w:t>, R.O. 1994.</w:t>
      </w:r>
      <w:proofErr w:type="gramEnd"/>
      <w:r w:rsidRPr="0005788F">
        <w:rPr>
          <w:rFonts w:eastAsia="Times New Roman" w:cs="Times New Roman"/>
          <w:color w:val="222222"/>
        </w:rPr>
        <w:t xml:space="preserve"> Young-growth redwood stands respond well to various thinning intensities. </w:t>
      </w:r>
      <w:proofErr w:type="gramStart"/>
      <w:r w:rsidRPr="0005788F">
        <w:rPr>
          <w:rFonts w:eastAsia="Times New Roman" w:cs="Times New Roman"/>
          <w:iCs/>
          <w:color w:val="222222"/>
        </w:rPr>
        <w:t>West</w:t>
      </w:r>
      <w:r w:rsidRPr="00FB034D">
        <w:rPr>
          <w:rFonts w:eastAsia="Times New Roman" w:cs="Times New Roman"/>
          <w:iCs/>
          <w:color w:val="222222"/>
        </w:rPr>
        <w:t xml:space="preserve">ern </w:t>
      </w:r>
      <w:r w:rsidRPr="0005788F">
        <w:rPr>
          <w:rFonts w:eastAsia="Times New Roman" w:cs="Times New Roman"/>
          <w:iCs/>
          <w:color w:val="222222"/>
        </w:rPr>
        <w:t xml:space="preserve"> J</w:t>
      </w:r>
      <w:r w:rsidRPr="00FB034D">
        <w:rPr>
          <w:rFonts w:eastAsia="Times New Roman" w:cs="Times New Roman"/>
          <w:iCs/>
          <w:color w:val="222222"/>
        </w:rPr>
        <w:t>ournal</w:t>
      </w:r>
      <w:proofErr w:type="gramEnd"/>
      <w:r w:rsidRPr="00FB034D">
        <w:rPr>
          <w:rFonts w:eastAsia="Times New Roman" w:cs="Times New Roman"/>
          <w:iCs/>
          <w:color w:val="222222"/>
        </w:rPr>
        <w:t xml:space="preserve"> of Applied Forestry </w:t>
      </w:r>
      <w:r w:rsidRPr="00FB034D">
        <w:rPr>
          <w:rFonts w:eastAsia="Times New Roman" w:cs="Times New Roman"/>
          <w:color w:val="222222"/>
        </w:rPr>
        <w:t xml:space="preserve"> 9(4):106-112</w:t>
      </w:r>
    </w:p>
    <w:p w:rsidR="004A5325" w:rsidRDefault="004A5325" w:rsidP="007179E1">
      <w:pPr>
        <w:shd w:val="clear" w:color="auto" w:fill="FFFFFF"/>
        <w:spacing w:after="120" w:line="240" w:lineRule="auto"/>
        <w:ind w:left="1080" w:hanging="360"/>
      </w:pPr>
      <w:proofErr w:type="gramStart"/>
      <w:r w:rsidRPr="00FB034D">
        <w:rPr>
          <w:rFonts w:eastAsia="Times New Roman" w:cs="Times New Roman"/>
          <w:color w:val="222222"/>
        </w:rPr>
        <w:t>Pe</w:t>
      </w:r>
      <w:r w:rsidRPr="00FB034D">
        <w:t>rry</w:t>
      </w:r>
      <w:r>
        <w:t>,</w:t>
      </w:r>
      <w:r w:rsidRPr="00FB034D">
        <w:t xml:space="preserve"> D.W.; </w:t>
      </w:r>
      <w:proofErr w:type="spellStart"/>
      <w:r w:rsidRPr="00FB034D">
        <w:t>Breshears</w:t>
      </w:r>
      <w:proofErr w:type="spellEnd"/>
      <w:r w:rsidRPr="00FB034D">
        <w:t xml:space="preserve">, L.W.; </w:t>
      </w:r>
      <w:proofErr w:type="spellStart"/>
      <w:r w:rsidRPr="00FB034D">
        <w:t>Gradillas</w:t>
      </w:r>
      <w:proofErr w:type="spellEnd"/>
      <w:r w:rsidRPr="00FB034D">
        <w:t>, G.E.; Berrill, J-P.</w:t>
      </w:r>
      <w:proofErr w:type="gramEnd"/>
      <w:r w:rsidRPr="00FB034D">
        <w:t xml:space="preserve"> 2016 Thinning intensity and ease-of-access increase probability of bear damage in a young coast redwood forest. Journal of Biodiversity Management and Forestry 5:1-7</w:t>
      </w:r>
    </w:p>
    <w:p w:rsidR="004A5325" w:rsidRDefault="004A5325" w:rsidP="007179E1">
      <w:pPr>
        <w:shd w:val="clear" w:color="auto" w:fill="FFFFFF"/>
        <w:spacing w:after="120" w:line="240" w:lineRule="auto"/>
        <w:ind w:left="1080" w:hanging="360"/>
      </w:pPr>
      <w:proofErr w:type="spellStart"/>
      <w:r>
        <w:rPr>
          <w:rFonts w:eastAsia="Times New Roman" w:cs="Times New Roman"/>
          <w:color w:val="222222"/>
        </w:rPr>
        <w:t>Ter</w:t>
      </w:r>
      <w:r>
        <w:t>aoka</w:t>
      </w:r>
      <w:proofErr w:type="spellEnd"/>
      <w:proofErr w:type="gramStart"/>
      <w:r>
        <w:t>,  J.R</w:t>
      </w:r>
      <w:proofErr w:type="gramEnd"/>
      <w:r>
        <w:t>.; Keyes, C.R. 2011 Low thinning as a forest restoration tool at Redwood National Park. Western Journal of Applied Forestry 26:91-93</w:t>
      </w:r>
    </w:p>
    <w:p w:rsidR="004A5325" w:rsidRDefault="004A5325" w:rsidP="007179E1">
      <w:pPr>
        <w:shd w:val="clear" w:color="auto" w:fill="FFFFFF"/>
        <w:spacing w:after="120" w:line="240" w:lineRule="auto"/>
        <w:ind w:left="1080" w:hanging="360"/>
        <w:rPr>
          <w:rFonts w:eastAsia="Times New Roman" w:cs="Times New Roman"/>
          <w:color w:val="222222"/>
        </w:rPr>
      </w:pPr>
      <w:proofErr w:type="spellStart"/>
      <w:r>
        <w:rPr>
          <w:rFonts w:eastAsia="Times New Roman" w:cs="Times New Roman"/>
          <w:color w:val="222222"/>
        </w:rPr>
        <w:t>Teraoka</w:t>
      </w:r>
      <w:proofErr w:type="spellEnd"/>
      <w:r>
        <w:rPr>
          <w:rFonts w:eastAsia="Times New Roman" w:cs="Times New Roman"/>
          <w:color w:val="222222"/>
        </w:rPr>
        <w:t xml:space="preserve">, J.R.; van </w:t>
      </w:r>
      <w:proofErr w:type="spellStart"/>
      <w:r>
        <w:rPr>
          <w:rFonts w:eastAsia="Times New Roman" w:cs="Times New Roman"/>
          <w:color w:val="222222"/>
        </w:rPr>
        <w:t>Mantgem</w:t>
      </w:r>
      <w:proofErr w:type="spellEnd"/>
      <w:r>
        <w:rPr>
          <w:rFonts w:eastAsia="Times New Roman" w:cs="Times New Roman"/>
          <w:color w:val="222222"/>
        </w:rPr>
        <w:t xml:space="preserve">, P.J.; Keyes, C.R. </w:t>
      </w:r>
      <w:r w:rsidRPr="0005788F">
        <w:rPr>
          <w:rFonts w:eastAsia="Times New Roman" w:cs="Times New Roman"/>
          <w:color w:val="222222"/>
        </w:rPr>
        <w:t xml:space="preserve">2017. </w:t>
      </w:r>
      <w:proofErr w:type="gramStart"/>
      <w:r>
        <w:rPr>
          <w:rFonts w:eastAsia="Times New Roman" w:cs="Times New Roman"/>
          <w:color w:val="222222"/>
        </w:rPr>
        <w:t>Low Thinning and Crown Thinning of Two Severities as Restoration Tools at Redwood National Park.</w:t>
      </w:r>
      <w:proofErr w:type="gramEnd"/>
      <w:r>
        <w:rPr>
          <w:rFonts w:eastAsia="Times New Roman" w:cs="Times New Roman"/>
          <w:color w:val="222222"/>
        </w:rPr>
        <w:t xml:space="preserve"> </w:t>
      </w:r>
      <w:r w:rsidRPr="0005788F">
        <w:rPr>
          <w:rFonts w:eastAsia="Times New Roman" w:cs="Times New Roman"/>
          <w:color w:val="222222"/>
        </w:rPr>
        <w:t>P. 2</w:t>
      </w:r>
      <w:r>
        <w:rPr>
          <w:rFonts w:eastAsia="Times New Roman" w:cs="Times New Roman"/>
          <w:color w:val="222222"/>
        </w:rPr>
        <w:t>59-266</w:t>
      </w:r>
      <w:r w:rsidRPr="0005788F">
        <w:rPr>
          <w:rFonts w:eastAsia="Times New Roman" w:cs="Times New Roman"/>
          <w:color w:val="222222"/>
        </w:rPr>
        <w:t xml:space="preserve"> in </w:t>
      </w:r>
      <w:proofErr w:type="spellStart"/>
      <w:r w:rsidRPr="0005788F">
        <w:rPr>
          <w:rFonts w:eastAsia="Times New Roman" w:cs="Times New Roman"/>
          <w:color w:val="222222"/>
        </w:rPr>
        <w:t>Standiford</w:t>
      </w:r>
      <w:proofErr w:type="spellEnd"/>
      <w:r w:rsidRPr="0005788F">
        <w:rPr>
          <w:rFonts w:eastAsia="Times New Roman" w:cs="Times New Roman"/>
          <w:color w:val="222222"/>
        </w:rPr>
        <w:t xml:space="preserve">, R.B., and </w:t>
      </w:r>
      <w:proofErr w:type="spellStart"/>
      <w:r w:rsidRPr="0005788F">
        <w:rPr>
          <w:rFonts w:eastAsia="Times New Roman" w:cs="Times New Roman"/>
          <w:color w:val="222222"/>
        </w:rPr>
        <w:t>Valachovic</w:t>
      </w:r>
      <w:proofErr w:type="spellEnd"/>
      <w:r w:rsidRPr="0005788F">
        <w:rPr>
          <w:rFonts w:eastAsia="Times New Roman" w:cs="Times New Roman"/>
          <w:color w:val="222222"/>
        </w:rPr>
        <w:t xml:space="preserve">, Y. tech cords. Proc. of Coast redwood science symposium—2016: Past successes and future direction. </w:t>
      </w:r>
      <w:proofErr w:type="gramStart"/>
      <w:r w:rsidRPr="0005788F">
        <w:rPr>
          <w:rFonts w:eastAsia="Times New Roman" w:cs="Times New Roman"/>
          <w:color w:val="222222"/>
        </w:rPr>
        <w:t>USDA Forest Service Gen. Tech. Rep. PSW-GTR-258.</w:t>
      </w:r>
      <w:proofErr w:type="gramEnd"/>
      <w:r w:rsidRPr="0005788F">
        <w:rPr>
          <w:rFonts w:eastAsia="Times New Roman" w:cs="Times New Roman"/>
          <w:color w:val="222222"/>
        </w:rPr>
        <w:t xml:space="preserve"> </w:t>
      </w:r>
      <w:proofErr w:type="gramStart"/>
      <w:r w:rsidRPr="0005788F">
        <w:rPr>
          <w:rFonts w:eastAsia="Times New Roman" w:cs="Times New Roman"/>
          <w:color w:val="222222"/>
        </w:rPr>
        <w:t>Albany, CA. 446 p.</w:t>
      </w:r>
      <w:proofErr w:type="gramEnd"/>
    </w:p>
    <w:p w:rsidR="004A5325" w:rsidRPr="0005788F" w:rsidRDefault="004A5325" w:rsidP="007179E1">
      <w:pPr>
        <w:shd w:val="clear" w:color="auto" w:fill="FFFFFF"/>
        <w:spacing w:after="120" w:line="240" w:lineRule="auto"/>
        <w:ind w:left="1080" w:hanging="360"/>
        <w:rPr>
          <w:rFonts w:eastAsia="Times New Roman" w:cs="Times New Roman"/>
          <w:color w:val="222222"/>
        </w:rPr>
      </w:pPr>
      <w:proofErr w:type="gramStart"/>
      <w:r>
        <w:rPr>
          <w:rFonts w:eastAsia="Times New Roman" w:cs="Times New Roman"/>
          <w:color w:val="222222"/>
        </w:rPr>
        <w:t>W</w:t>
      </w:r>
      <w:r w:rsidRPr="00FB034D">
        <w:rPr>
          <w:rFonts w:eastAsia="Times New Roman" w:cs="Times New Roman"/>
          <w:color w:val="222222"/>
        </w:rPr>
        <w:t>eb</w:t>
      </w:r>
      <w:r w:rsidRPr="0005788F">
        <w:rPr>
          <w:rFonts w:eastAsia="Times New Roman" w:cs="Times New Roman"/>
          <w:color w:val="222222"/>
        </w:rPr>
        <w:t>b, L.</w:t>
      </w:r>
      <w:r w:rsidRPr="00FB034D">
        <w:rPr>
          <w:rFonts w:eastAsia="Times New Roman" w:cs="Times New Roman"/>
          <w:color w:val="222222"/>
        </w:rPr>
        <w:t xml:space="preserve">; </w:t>
      </w:r>
      <w:r w:rsidRPr="0005788F">
        <w:rPr>
          <w:rFonts w:eastAsia="Times New Roman" w:cs="Times New Roman"/>
          <w:color w:val="222222"/>
        </w:rPr>
        <w:t>Berrill, J-P.</w:t>
      </w:r>
      <w:r w:rsidRPr="00FB034D">
        <w:rPr>
          <w:rFonts w:eastAsia="Times New Roman" w:cs="Times New Roman"/>
          <w:color w:val="222222"/>
        </w:rPr>
        <w:t>;</w:t>
      </w:r>
      <w:r w:rsidRPr="0005788F">
        <w:rPr>
          <w:rFonts w:eastAsia="Times New Roman" w:cs="Times New Roman"/>
          <w:color w:val="222222"/>
        </w:rPr>
        <w:t xml:space="preserve"> Lindquist, J. 2017.</w:t>
      </w:r>
      <w:proofErr w:type="gramEnd"/>
      <w:r w:rsidRPr="0005788F">
        <w:rPr>
          <w:rFonts w:eastAsia="Times New Roman" w:cs="Times New Roman"/>
          <w:color w:val="222222"/>
        </w:rPr>
        <w:t xml:space="preserve"> </w:t>
      </w:r>
      <w:proofErr w:type="gramStart"/>
      <w:r w:rsidRPr="0005788F">
        <w:rPr>
          <w:rFonts w:eastAsia="Times New Roman" w:cs="Times New Roman"/>
          <w:color w:val="222222"/>
        </w:rPr>
        <w:t>Long Term Results of Early Density Management of a Third Growth Redwood Stand.</w:t>
      </w:r>
      <w:proofErr w:type="gramEnd"/>
      <w:r w:rsidRPr="0005788F">
        <w:rPr>
          <w:rFonts w:eastAsia="Times New Roman" w:cs="Times New Roman"/>
          <w:color w:val="222222"/>
        </w:rPr>
        <w:t xml:space="preserve"> P. 267-278 in </w:t>
      </w:r>
      <w:proofErr w:type="spellStart"/>
      <w:r w:rsidRPr="0005788F">
        <w:rPr>
          <w:rFonts w:eastAsia="Times New Roman" w:cs="Times New Roman"/>
          <w:color w:val="222222"/>
        </w:rPr>
        <w:t>Standiford</w:t>
      </w:r>
      <w:proofErr w:type="spellEnd"/>
      <w:r w:rsidRPr="0005788F">
        <w:rPr>
          <w:rFonts w:eastAsia="Times New Roman" w:cs="Times New Roman"/>
          <w:color w:val="222222"/>
        </w:rPr>
        <w:t xml:space="preserve">, R.B., and </w:t>
      </w:r>
      <w:proofErr w:type="spellStart"/>
      <w:r w:rsidRPr="0005788F">
        <w:rPr>
          <w:rFonts w:eastAsia="Times New Roman" w:cs="Times New Roman"/>
          <w:color w:val="222222"/>
        </w:rPr>
        <w:t>Valachovic</w:t>
      </w:r>
      <w:proofErr w:type="spellEnd"/>
      <w:r w:rsidRPr="0005788F">
        <w:rPr>
          <w:rFonts w:eastAsia="Times New Roman" w:cs="Times New Roman"/>
          <w:color w:val="222222"/>
        </w:rPr>
        <w:t xml:space="preserve">, Y. tech cords. Proc. of Coast redwood science symposium—2016: Past successes and future direction. </w:t>
      </w:r>
      <w:proofErr w:type="gramStart"/>
      <w:r w:rsidRPr="0005788F">
        <w:rPr>
          <w:rFonts w:eastAsia="Times New Roman" w:cs="Times New Roman"/>
          <w:color w:val="222222"/>
        </w:rPr>
        <w:t>USDA Forest Service Gen. Tech. Rep. PSW-GTR-258.</w:t>
      </w:r>
      <w:proofErr w:type="gramEnd"/>
      <w:r w:rsidRPr="0005788F">
        <w:rPr>
          <w:rFonts w:eastAsia="Times New Roman" w:cs="Times New Roman"/>
          <w:color w:val="222222"/>
        </w:rPr>
        <w:t xml:space="preserve"> </w:t>
      </w:r>
      <w:proofErr w:type="gramStart"/>
      <w:r w:rsidRPr="0005788F">
        <w:rPr>
          <w:rFonts w:eastAsia="Times New Roman" w:cs="Times New Roman"/>
          <w:color w:val="222222"/>
        </w:rPr>
        <w:t>Albany, CA. 446 p.</w:t>
      </w:r>
      <w:proofErr w:type="gramEnd"/>
    </w:p>
    <w:p w:rsidR="004A5325" w:rsidRPr="000B6D46" w:rsidRDefault="004A5325" w:rsidP="007179E1">
      <w:pPr>
        <w:spacing w:after="0" w:line="240" w:lineRule="auto"/>
        <w:ind w:left="1080" w:hanging="360"/>
        <w:rPr>
          <w:i/>
        </w:rPr>
      </w:pPr>
    </w:p>
    <w:sectPr w:rsidR="004A5325" w:rsidRPr="000B6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AB4" w:rsidRDefault="00D63AB4" w:rsidP="00BF0366">
      <w:pPr>
        <w:spacing w:after="0" w:line="240" w:lineRule="auto"/>
      </w:pPr>
      <w:r>
        <w:separator/>
      </w:r>
    </w:p>
  </w:endnote>
  <w:endnote w:type="continuationSeparator" w:id="0">
    <w:p w:rsidR="00D63AB4" w:rsidRDefault="00D63AB4" w:rsidP="00BF0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VnURWPalladioL">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AB4" w:rsidRDefault="00D63AB4" w:rsidP="00BF0366">
      <w:pPr>
        <w:spacing w:after="0" w:line="240" w:lineRule="auto"/>
      </w:pPr>
      <w:r>
        <w:separator/>
      </w:r>
    </w:p>
  </w:footnote>
  <w:footnote w:type="continuationSeparator" w:id="0">
    <w:p w:rsidR="00D63AB4" w:rsidRDefault="00D63AB4" w:rsidP="00BF03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6ECB"/>
    <w:multiLevelType w:val="hybridMultilevel"/>
    <w:tmpl w:val="7C6E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762BD"/>
    <w:multiLevelType w:val="hybridMultilevel"/>
    <w:tmpl w:val="7E64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97D63"/>
    <w:multiLevelType w:val="hybridMultilevel"/>
    <w:tmpl w:val="6C64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549D9"/>
    <w:multiLevelType w:val="hybridMultilevel"/>
    <w:tmpl w:val="8DF8D1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E1E4B11"/>
    <w:multiLevelType w:val="hybridMultilevel"/>
    <w:tmpl w:val="EB3CED6E"/>
    <w:lvl w:ilvl="0" w:tplc="A0903B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266C19"/>
    <w:multiLevelType w:val="hybridMultilevel"/>
    <w:tmpl w:val="544439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6630460"/>
    <w:multiLevelType w:val="hybridMultilevel"/>
    <w:tmpl w:val="F3B85F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5D"/>
    <w:rsid w:val="00092098"/>
    <w:rsid w:val="00093560"/>
    <w:rsid w:val="000A6EA1"/>
    <w:rsid w:val="000B6D46"/>
    <w:rsid w:val="000C15E6"/>
    <w:rsid w:val="000D2AAE"/>
    <w:rsid w:val="00102C29"/>
    <w:rsid w:val="00117FD5"/>
    <w:rsid w:val="00140883"/>
    <w:rsid w:val="00156315"/>
    <w:rsid w:val="001603B4"/>
    <w:rsid w:val="00194459"/>
    <w:rsid w:val="001A75E5"/>
    <w:rsid w:val="001B191D"/>
    <w:rsid w:val="001E3CEA"/>
    <w:rsid w:val="001F77CD"/>
    <w:rsid w:val="0021664B"/>
    <w:rsid w:val="00232444"/>
    <w:rsid w:val="002341F2"/>
    <w:rsid w:val="00293A6F"/>
    <w:rsid w:val="00296A33"/>
    <w:rsid w:val="002A28F7"/>
    <w:rsid w:val="00302AC9"/>
    <w:rsid w:val="003170AB"/>
    <w:rsid w:val="0032201E"/>
    <w:rsid w:val="00334B20"/>
    <w:rsid w:val="00335368"/>
    <w:rsid w:val="003430CF"/>
    <w:rsid w:val="003D7696"/>
    <w:rsid w:val="0040287D"/>
    <w:rsid w:val="004139B1"/>
    <w:rsid w:val="004636EA"/>
    <w:rsid w:val="00465F35"/>
    <w:rsid w:val="00491B2B"/>
    <w:rsid w:val="004A5325"/>
    <w:rsid w:val="004D7C8F"/>
    <w:rsid w:val="00521FC5"/>
    <w:rsid w:val="00526089"/>
    <w:rsid w:val="005479AD"/>
    <w:rsid w:val="00591DDA"/>
    <w:rsid w:val="005930E1"/>
    <w:rsid w:val="005A16CB"/>
    <w:rsid w:val="005C51E6"/>
    <w:rsid w:val="005C60AC"/>
    <w:rsid w:val="005F133B"/>
    <w:rsid w:val="00600AA9"/>
    <w:rsid w:val="006300AA"/>
    <w:rsid w:val="00650A2A"/>
    <w:rsid w:val="0067015E"/>
    <w:rsid w:val="006A0B9F"/>
    <w:rsid w:val="00712127"/>
    <w:rsid w:val="00713CE4"/>
    <w:rsid w:val="007179E1"/>
    <w:rsid w:val="00736640"/>
    <w:rsid w:val="007739A3"/>
    <w:rsid w:val="0079503B"/>
    <w:rsid w:val="00842FA5"/>
    <w:rsid w:val="008431AA"/>
    <w:rsid w:val="00847AC9"/>
    <w:rsid w:val="00865415"/>
    <w:rsid w:val="00893E86"/>
    <w:rsid w:val="008B62EA"/>
    <w:rsid w:val="009001A6"/>
    <w:rsid w:val="0091236F"/>
    <w:rsid w:val="009325D4"/>
    <w:rsid w:val="00941FE7"/>
    <w:rsid w:val="009577F6"/>
    <w:rsid w:val="009753A9"/>
    <w:rsid w:val="009A4D76"/>
    <w:rsid w:val="009E4CB0"/>
    <w:rsid w:val="009F73B9"/>
    <w:rsid w:val="009F7821"/>
    <w:rsid w:val="00A050F4"/>
    <w:rsid w:val="00A24C00"/>
    <w:rsid w:val="00A41CD8"/>
    <w:rsid w:val="00A53405"/>
    <w:rsid w:val="00A669BC"/>
    <w:rsid w:val="00A83696"/>
    <w:rsid w:val="00A92824"/>
    <w:rsid w:val="00AA5B2F"/>
    <w:rsid w:val="00AD55BD"/>
    <w:rsid w:val="00B17DED"/>
    <w:rsid w:val="00B22D9C"/>
    <w:rsid w:val="00B2604D"/>
    <w:rsid w:val="00B314BD"/>
    <w:rsid w:val="00B61C2E"/>
    <w:rsid w:val="00B94E6C"/>
    <w:rsid w:val="00B96CCF"/>
    <w:rsid w:val="00BA4E94"/>
    <w:rsid w:val="00BA7EEB"/>
    <w:rsid w:val="00BB3355"/>
    <w:rsid w:val="00BB34BA"/>
    <w:rsid w:val="00BC021B"/>
    <w:rsid w:val="00BF0366"/>
    <w:rsid w:val="00CF4668"/>
    <w:rsid w:val="00D21B0A"/>
    <w:rsid w:val="00D3728B"/>
    <w:rsid w:val="00D53A61"/>
    <w:rsid w:val="00D63AB4"/>
    <w:rsid w:val="00D84769"/>
    <w:rsid w:val="00D94568"/>
    <w:rsid w:val="00DA5B9D"/>
    <w:rsid w:val="00E14AF2"/>
    <w:rsid w:val="00E564F8"/>
    <w:rsid w:val="00E63E5D"/>
    <w:rsid w:val="00E81E4C"/>
    <w:rsid w:val="00E95B28"/>
    <w:rsid w:val="00ED6898"/>
    <w:rsid w:val="00EE439B"/>
    <w:rsid w:val="00F13E9E"/>
    <w:rsid w:val="00F2596F"/>
    <w:rsid w:val="00F822B3"/>
    <w:rsid w:val="00F916FA"/>
    <w:rsid w:val="00FA51A8"/>
    <w:rsid w:val="00FB0732"/>
    <w:rsid w:val="00FB62A7"/>
    <w:rsid w:val="00FD0E89"/>
    <w:rsid w:val="00FE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5D"/>
    <w:pPr>
      <w:ind w:left="720"/>
      <w:contextualSpacing/>
    </w:pPr>
  </w:style>
  <w:style w:type="table" w:styleId="TableGrid">
    <w:name w:val="Table Grid"/>
    <w:basedOn w:val="TableNormal"/>
    <w:uiPriority w:val="39"/>
    <w:rsid w:val="00E63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366"/>
  </w:style>
  <w:style w:type="paragraph" w:styleId="Footer">
    <w:name w:val="footer"/>
    <w:basedOn w:val="Normal"/>
    <w:link w:val="FooterChar"/>
    <w:uiPriority w:val="99"/>
    <w:unhideWhenUsed/>
    <w:rsid w:val="00BF0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366"/>
  </w:style>
  <w:style w:type="character" w:styleId="Hyperlink">
    <w:name w:val="Hyperlink"/>
    <w:basedOn w:val="DefaultParagraphFont"/>
    <w:uiPriority w:val="99"/>
    <w:unhideWhenUsed/>
    <w:rsid w:val="00D53A61"/>
    <w:rPr>
      <w:color w:val="0563C1" w:themeColor="hyperlink"/>
      <w:u w:val="single"/>
    </w:rPr>
  </w:style>
  <w:style w:type="paragraph" w:styleId="BalloonText">
    <w:name w:val="Balloon Text"/>
    <w:basedOn w:val="Normal"/>
    <w:link w:val="BalloonTextChar"/>
    <w:uiPriority w:val="99"/>
    <w:semiHidden/>
    <w:unhideWhenUsed/>
    <w:rsid w:val="00102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29"/>
    <w:rPr>
      <w:rFonts w:ascii="Tahoma" w:hAnsi="Tahoma" w:cs="Tahoma"/>
      <w:sz w:val="16"/>
      <w:szCs w:val="16"/>
    </w:rPr>
  </w:style>
  <w:style w:type="paragraph" w:customStyle="1" w:styleId="WW-Default">
    <w:name w:val="WW-Default"/>
    <w:rsid w:val="009325D4"/>
    <w:pPr>
      <w:suppressAutoHyphens/>
      <w:autoSpaceDE w:val="0"/>
      <w:spacing w:after="0" w:line="240" w:lineRule="auto"/>
    </w:pPr>
    <w:rPr>
      <w:rFonts w:ascii="Times New Roman" w:eastAsia="Arial" w:hAnsi="Times New Roman" w:cs="Times New Roman"/>
      <w:color w:val="000000"/>
      <w:sz w:val="24"/>
      <w:szCs w:val="24"/>
      <w:lang w:eastAsia="ar-SA"/>
    </w:rPr>
  </w:style>
  <w:style w:type="character" w:styleId="CommentReference">
    <w:name w:val="annotation reference"/>
    <w:basedOn w:val="DefaultParagraphFont"/>
    <w:uiPriority w:val="99"/>
    <w:semiHidden/>
    <w:unhideWhenUsed/>
    <w:rsid w:val="00526089"/>
    <w:rPr>
      <w:sz w:val="16"/>
      <w:szCs w:val="16"/>
    </w:rPr>
  </w:style>
  <w:style w:type="paragraph" w:styleId="CommentText">
    <w:name w:val="annotation text"/>
    <w:basedOn w:val="Normal"/>
    <w:link w:val="CommentTextChar"/>
    <w:uiPriority w:val="99"/>
    <w:semiHidden/>
    <w:unhideWhenUsed/>
    <w:rsid w:val="00526089"/>
    <w:pPr>
      <w:spacing w:line="240" w:lineRule="auto"/>
    </w:pPr>
    <w:rPr>
      <w:sz w:val="20"/>
      <w:szCs w:val="20"/>
    </w:rPr>
  </w:style>
  <w:style w:type="character" w:customStyle="1" w:styleId="CommentTextChar">
    <w:name w:val="Comment Text Char"/>
    <w:basedOn w:val="DefaultParagraphFont"/>
    <w:link w:val="CommentText"/>
    <w:uiPriority w:val="99"/>
    <w:semiHidden/>
    <w:rsid w:val="00526089"/>
    <w:rPr>
      <w:sz w:val="20"/>
      <w:szCs w:val="20"/>
    </w:rPr>
  </w:style>
  <w:style w:type="paragraph" w:styleId="CommentSubject">
    <w:name w:val="annotation subject"/>
    <w:basedOn w:val="CommentText"/>
    <w:next w:val="CommentText"/>
    <w:link w:val="CommentSubjectChar"/>
    <w:uiPriority w:val="99"/>
    <w:semiHidden/>
    <w:unhideWhenUsed/>
    <w:rsid w:val="00526089"/>
    <w:rPr>
      <w:b/>
      <w:bCs/>
    </w:rPr>
  </w:style>
  <w:style w:type="character" w:customStyle="1" w:styleId="CommentSubjectChar">
    <w:name w:val="Comment Subject Char"/>
    <w:basedOn w:val="CommentTextChar"/>
    <w:link w:val="CommentSubject"/>
    <w:uiPriority w:val="99"/>
    <w:semiHidden/>
    <w:rsid w:val="0052608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5D"/>
    <w:pPr>
      <w:ind w:left="720"/>
      <w:contextualSpacing/>
    </w:pPr>
  </w:style>
  <w:style w:type="table" w:styleId="TableGrid">
    <w:name w:val="Table Grid"/>
    <w:basedOn w:val="TableNormal"/>
    <w:uiPriority w:val="39"/>
    <w:rsid w:val="00E63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366"/>
  </w:style>
  <w:style w:type="paragraph" w:styleId="Footer">
    <w:name w:val="footer"/>
    <w:basedOn w:val="Normal"/>
    <w:link w:val="FooterChar"/>
    <w:uiPriority w:val="99"/>
    <w:unhideWhenUsed/>
    <w:rsid w:val="00BF0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366"/>
  </w:style>
  <w:style w:type="character" w:styleId="Hyperlink">
    <w:name w:val="Hyperlink"/>
    <w:basedOn w:val="DefaultParagraphFont"/>
    <w:uiPriority w:val="99"/>
    <w:unhideWhenUsed/>
    <w:rsid w:val="00D53A61"/>
    <w:rPr>
      <w:color w:val="0563C1" w:themeColor="hyperlink"/>
      <w:u w:val="single"/>
    </w:rPr>
  </w:style>
  <w:style w:type="paragraph" w:styleId="BalloonText">
    <w:name w:val="Balloon Text"/>
    <w:basedOn w:val="Normal"/>
    <w:link w:val="BalloonTextChar"/>
    <w:uiPriority w:val="99"/>
    <w:semiHidden/>
    <w:unhideWhenUsed/>
    <w:rsid w:val="00102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29"/>
    <w:rPr>
      <w:rFonts w:ascii="Tahoma" w:hAnsi="Tahoma" w:cs="Tahoma"/>
      <w:sz w:val="16"/>
      <w:szCs w:val="16"/>
    </w:rPr>
  </w:style>
  <w:style w:type="paragraph" w:customStyle="1" w:styleId="WW-Default">
    <w:name w:val="WW-Default"/>
    <w:rsid w:val="009325D4"/>
    <w:pPr>
      <w:suppressAutoHyphens/>
      <w:autoSpaceDE w:val="0"/>
      <w:spacing w:after="0" w:line="240" w:lineRule="auto"/>
    </w:pPr>
    <w:rPr>
      <w:rFonts w:ascii="Times New Roman" w:eastAsia="Arial" w:hAnsi="Times New Roman" w:cs="Times New Roman"/>
      <w:color w:val="000000"/>
      <w:sz w:val="24"/>
      <w:szCs w:val="24"/>
      <w:lang w:eastAsia="ar-SA"/>
    </w:rPr>
  </w:style>
  <w:style w:type="character" w:styleId="CommentReference">
    <w:name w:val="annotation reference"/>
    <w:basedOn w:val="DefaultParagraphFont"/>
    <w:uiPriority w:val="99"/>
    <w:semiHidden/>
    <w:unhideWhenUsed/>
    <w:rsid w:val="00526089"/>
    <w:rPr>
      <w:sz w:val="16"/>
      <w:szCs w:val="16"/>
    </w:rPr>
  </w:style>
  <w:style w:type="paragraph" w:styleId="CommentText">
    <w:name w:val="annotation text"/>
    <w:basedOn w:val="Normal"/>
    <w:link w:val="CommentTextChar"/>
    <w:uiPriority w:val="99"/>
    <w:semiHidden/>
    <w:unhideWhenUsed/>
    <w:rsid w:val="00526089"/>
    <w:pPr>
      <w:spacing w:line="240" w:lineRule="auto"/>
    </w:pPr>
    <w:rPr>
      <w:sz w:val="20"/>
      <w:szCs w:val="20"/>
    </w:rPr>
  </w:style>
  <w:style w:type="character" w:customStyle="1" w:styleId="CommentTextChar">
    <w:name w:val="Comment Text Char"/>
    <w:basedOn w:val="DefaultParagraphFont"/>
    <w:link w:val="CommentText"/>
    <w:uiPriority w:val="99"/>
    <w:semiHidden/>
    <w:rsid w:val="00526089"/>
    <w:rPr>
      <w:sz w:val="20"/>
      <w:szCs w:val="20"/>
    </w:rPr>
  </w:style>
  <w:style w:type="paragraph" w:styleId="CommentSubject">
    <w:name w:val="annotation subject"/>
    <w:basedOn w:val="CommentText"/>
    <w:next w:val="CommentText"/>
    <w:link w:val="CommentSubjectChar"/>
    <w:uiPriority w:val="99"/>
    <w:semiHidden/>
    <w:unhideWhenUsed/>
    <w:rsid w:val="00526089"/>
    <w:rPr>
      <w:b/>
      <w:bCs/>
    </w:rPr>
  </w:style>
  <w:style w:type="character" w:customStyle="1" w:styleId="CommentSubjectChar">
    <w:name w:val="Comment Subject Char"/>
    <w:basedOn w:val="CommentTextChar"/>
    <w:link w:val="CommentSubject"/>
    <w:uiPriority w:val="99"/>
    <w:semiHidden/>
    <w:rsid w:val="005260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7</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Shive</dc:creator>
  <cp:lastModifiedBy>cd104</cp:lastModifiedBy>
  <cp:revision>5</cp:revision>
  <cp:lastPrinted>2019-10-08T17:45:00Z</cp:lastPrinted>
  <dcterms:created xsi:type="dcterms:W3CDTF">2019-10-31T14:36:00Z</dcterms:created>
  <dcterms:modified xsi:type="dcterms:W3CDTF">2020-09-15T19:12:00Z</dcterms:modified>
</cp:coreProperties>
</file>