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63.png" ContentType="image/png"/>
  <Override PartName="/word/media/rId57.png" ContentType="image/png"/>
  <Override PartName="/word/media/rId27.png" ContentType="image/png"/>
  <Override PartName="/word/media/rId40.png" ContentType="image/png"/>
  <Override PartName="/word/media/rId4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Regeneration</w:t>
      </w:r>
      <w:r>
        <w:t xml:space="preserve"> </w:t>
      </w:r>
      <w:r>
        <w:t xml:space="preserve">and</w:t>
      </w:r>
      <w:r>
        <w:t xml:space="preserve"> </w:t>
      </w:r>
      <w:r>
        <w:t xml:space="preserve">Fuel</w:t>
      </w:r>
      <w:r>
        <w:t xml:space="preserve"> </w:t>
      </w:r>
      <w:r>
        <w:t xml:space="preserve">Loading</w:t>
      </w:r>
      <w:r>
        <w:t xml:space="preserve"> </w:t>
      </w:r>
      <w:r>
        <w:t xml:space="preserve">with</w:t>
      </w:r>
      <w:r>
        <w:t xml:space="preserve"> </w:t>
      </w:r>
      <w:r>
        <w:t xml:space="preserve">Varying</w:t>
      </w:r>
      <w:r>
        <w:t xml:space="preserve"> </w:t>
      </w:r>
      <w:r>
        <w:t xml:space="preserve">Overstory</w:t>
      </w:r>
      <w:r>
        <w:t xml:space="preserve"> </w:t>
      </w:r>
      <w:r>
        <w:t xml:space="preserve">Retention</w:t>
      </w:r>
      <w:r>
        <w:t xml:space="preserve"> </w:t>
      </w:r>
      <w:r>
        <w:t xml:space="preserve">in</w:t>
      </w:r>
      <w:r>
        <w:t xml:space="preserve"> </w:t>
      </w:r>
      <w:r>
        <w:t xml:space="preserve">Redwood</w:t>
      </w:r>
      <w:r>
        <w:t xml:space="preserve"> </w:t>
      </w:r>
      <w:r>
        <w:t xml:space="preserve">Stands</w:t>
      </w:r>
      <w:r>
        <w:t xml:space="preserve"> </w:t>
      </w:r>
      <w:r>
        <w:t xml:space="preserve">10</w:t>
      </w:r>
      <w:r>
        <w:t xml:space="preserve"> </w:t>
      </w:r>
      <w:r>
        <w:t xml:space="preserve">Years</w:t>
      </w:r>
      <w:r>
        <w:t xml:space="preserve"> </w:t>
      </w:r>
      <w:r>
        <w:t xml:space="preserve">after</w:t>
      </w:r>
      <w:r>
        <w:t xml:space="preserve"> </w:t>
      </w:r>
      <w:r>
        <w:t xml:space="preserve">Transformation</w:t>
      </w:r>
      <w:r>
        <w:t xml:space="preserve"> </w:t>
      </w:r>
      <w:r>
        <w:t xml:space="preserve">to</w:t>
      </w:r>
      <w:r>
        <w:t xml:space="preserve"> </w:t>
      </w:r>
      <w:r>
        <w:t xml:space="preserve">Multiaged</w:t>
      </w:r>
      <w:r>
        <w:t xml:space="preserve"> </w:t>
      </w:r>
      <w:r>
        <w:t xml:space="preserve">Management</w:t>
      </w:r>
    </w:p>
    <w:p>
      <w:pPr>
        <w:pStyle w:val="Author"/>
      </w:pPr>
      <w:r>
        <w:t xml:space="preserve">Judson</w:t>
      </w:r>
      <w:r>
        <w:t xml:space="preserve"> </w:t>
      </w:r>
      <w:r>
        <w:t xml:space="preserve">Fisher</w:t>
      </w:r>
    </w:p>
    <w:p>
      <w:pPr>
        <w:pStyle w:val="Date"/>
      </w:pPr>
      <w:r>
        <w:t xml:space="preserve">2024-02-13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2" w:name="preface"/>
    <w:p>
      <w:pPr>
        <w:pStyle w:val="Heading1"/>
      </w:pPr>
      <w:r>
        <w:t xml:space="preserve">Preface</w:t>
      </w:r>
    </w:p>
    <w:bookmarkStart w:id="20" w:name="abstract"/>
    <w:p>
      <w:pPr>
        <w:pStyle w:val="Heading2"/>
      </w:pPr>
      <w:r>
        <w:t xml:space="preserve">Abstract</w:t>
      </w:r>
    </w:p>
    <w:p>
      <w:pPr>
        <w:pStyle w:val="FirstParagraph"/>
      </w:pPr>
      <w:r>
        <w:t xml:space="preserve">This is an analysis of the 10-year re-measure of the Redwood multi-age</w:t>
      </w:r>
      <w:r>
        <w:t xml:space="preserve"> </w:t>
      </w:r>
      <w:r>
        <w:t xml:space="preserve">experiment which is maintained by Dr. Pascal Berrill, professor of silviculture</w:t>
      </w:r>
      <w:r>
        <w:t xml:space="preserve"> </w:t>
      </w:r>
      <w:r>
        <w:t xml:space="preserve">at Cal-Poly Humboldt, in conjunction with the Jackson Demonstration State Forest</w:t>
      </w:r>
      <w:r>
        <w:t xml:space="preserve"> </w:t>
      </w:r>
      <w:r>
        <w:t xml:space="preserve">in Mendocino County, California. The multi-aged experiment explores the</w:t>
      </w:r>
      <w:r>
        <w:t xml:space="preserve"> </w:t>
      </w:r>
      <w:r>
        <w:t xml:space="preserve">regeneration response of several species following different harvesting</w:t>
      </w:r>
      <w:r>
        <w:t xml:space="preserve"> </w:t>
      </w:r>
      <w:r>
        <w:t xml:space="preserve">techniques including group selection, aggregated retention, and high/low</w:t>
      </w:r>
      <w:r>
        <w:t xml:space="preserve"> </w:t>
      </w:r>
      <w:r>
        <w:t xml:space="preserve">dispersed retention. The 10-year re-measure data includes surface fuel</w:t>
      </w:r>
      <w:r>
        <w:t xml:space="preserve"> </w:t>
      </w:r>
      <w:r>
        <w:t xml:space="preserve">characterization and regeneration density.</w:t>
      </w:r>
    </w:p>
    <w:bookmarkEnd w:id="20"/>
    <w:bookmarkStart w:id="21" w:name="acknowledgements"/>
    <w:p>
      <w:pPr>
        <w:pStyle w:val="Heading2"/>
      </w:pPr>
      <w:r>
        <w:t xml:space="preserve">Acknowledgements</w:t>
      </w:r>
    </w:p>
    <w:p>
      <w:pPr>
        <w:pStyle w:val="FirstParagraph"/>
      </w:pPr>
      <w:r>
        <w:t xml:space="preserve">I would like to thank my advisor Pascal Berrill and my other committee memebers,</w:t>
      </w:r>
      <w:r>
        <w:t xml:space="preserve"> </w:t>
      </w:r>
      <w:r>
        <w:t xml:space="preserve">Jeffrey Kane, and Rosanna Overholser.</w:t>
      </w:r>
    </w:p>
    <w:bookmarkEnd w:id="21"/>
    <w:bookmarkEnd w:id="22"/>
    <w:bookmarkStart w:id="24" w:name="introduction"/>
    <w:p>
      <w:pPr>
        <w:pStyle w:val="Heading1"/>
      </w:pPr>
      <w:r>
        <w:t xml:space="preserve">1. Introduction</w:t>
      </w:r>
    </w:p>
    <w:p>
      <w:pPr>
        <w:pStyle w:val="FirstParagraph"/>
      </w:pPr>
      <w:r>
        <w:t xml:space="preserve">Ecological forestry which maintains a wide range of ecosystem services while</w:t>
      </w:r>
      <w:r>
        <w:t xml:space="preserve"> </w:t>
      </w:r>
      <w:r>
        <w:t xml:space="preserve">also supplying timber requires a diverse landscape of highly varied forest</w:t>
      </w:r>
      <w:r>
        <w:t xml:space="preserve"> </w:t>
      </w:r>
      <w:r>
        <w:t xml:space="preserve">structures</w:t>
      </w:r>
      <w:r>
        <w:t xml:space="preserve"> </w:t>
      </w:r>
      <w:r>
        <w:t xml:space="preserve">(Aplet 1994; Nolet et al. 2018; K. L. O’Hara 2001)</w:t>
      </w:r>
      <w:r>
        <w:t xml:space="preserve"> </w:t>
      </w:r>
      <w:r>
        <w:t xml:space="preserve">. These, in turn, require a</w:t>
      </w:r>
      <w:r>
        <w:t xml:space="preserve"> </w:t>
      </w:r>
      <w:r>
        <w:t xml:space="preserve">variety of silvicultural techniques to implement and sustain</w:t>
      </w:r>
      <w:r>
        <w:t xml:space="preserve"> </w:t>
      </w:r>
      <w:r>
        <w:t xml:space="preserve">(K. L. O’Hara 1998; Schütz 2002)</w:t>
      </w:r>
      <w:r>
        <w:t xml:space="preserve">. The development of multiaged stand</w:t>
      </w:r>
      <w:r>
        <w:t xml:space="preserve"> </w:t>
      </w:r>
      <w:r>
        <w:t xml:space="preserve">structures has long been of interest to silviculturists as a key</w:t>
      </w:r>
      <w:r>
        <w:t xml:space="preserve"> </w:t>
      </w:r>
      <w:r>
        <w:t xml:space="preserve">alternative to the conceptually and logistically simpler, even-aged management</w:t>
      </w:r>
      <w:r>
        <w:t xml:space="preserve"> </w:t>
      </w:r>
      <w:r>
        <w:t xml:space="preserve">(Schütz 1999)</w:t>
      </w:r>
      <w:r>
        <w:t xml:space="preserve">. Multiaged silviculture refers to the</w:t>
      </w:r>
      <w:r>
        <w:t xml:space="preserve"> </w:t>
      </w:r>
      <w:r>
        <w:t xml:space="preserve">retention of trees of distinctively different age classes, growing together</w:t>
      </w:r>
      <w:r>
        <w:t xml:space="preserve"> </w:t>
      </w:r>
      <w:r>
        <w:t xml:space="preserve">within the same stand. These cohorts may co-occur at the tree level, or</w:t>
      </w:r>
      <w:r>
        <w:t xml:space="preserve"> </w:t>
      </w:r>
      <w:r>
        <w:t xml:space="preserve">in small, even-aged patches within the stand. In the latter case, the</w:t>
      </w:r>
      <w:r>
        <w:t xml:space="preserve"> </w:t>
      </w:r>
      <w:r>
        <w:t xml:space="preserve">distinction between even- and multiaged management can become blurred with</w:t>
      </w:r>
      <w:r>
        <w:t xml:space="preserve"> </w:t>
      </w:r>
      <w:r>
        <w:t xml:space="preserve">increasing patch size, but patches are generally much smaller (often less than 1</w:t>
      </w:r>
      <w:r>
        <w:t xml:space="preserve"> </w:t>
      </w:r>
      <w:r>
        <w:t xml:space="preserve">ha) than the stands they compose. The pursuit of multiaged stand structures has</w:t>
      </w:r>
      <w:r>
        <w:t xml:space="preserve"> </w:t>
      </w:r>
      <w:r>
        <w:t xml:space="preserve">often met with mixed results</w:t>
      </w:r>
      <w:r>
        <w:t xml:space="preserve"> </w:t>
      </w:r>
      <w:r>
        <w:t xml:space="preserve">(K. L. O’Hara 2002)</w:t>
      </w:r>
      <w:r>
        <w:t xml:space="preserve"> </w:t>
      </w:r>
      <w:r>
        <w:t xml:space="preserve">and this</w:t>
      </w:r>
      <w:r>
        <w:t xml:space="preserve"> </w:t>
      </w:r>
      <w:r>
        <w:t xml:space="preserve">has led to the investigation of several different systems for achieving such</w:t>
      </w:r>
      <w:r>
        <w:t xml:space="preserve"> </w:t>
      </w:r>
      <w:r>
        <w:t xml:space="preserve">structures. Research into the efficacy and results associated with these is</w:t>
      </w:r>
      <w:r>
        <w:t xml:space="preserve"> </w:t>
      </w:r>
      <w:r>
        <w:t xml:space="preserve">ongoing</w:t>
      </w:r>
      <w:r>
        <w:t xml:space="preserve"> </w:t>
      </w:r>
      <w:r>
        <w:t xml:space="preserve">(Beese et al. 2019; Nolet et al. 2018)</w:t>
      </w:r>
      <w:r>
        <w:t xml:space="preserve">. One such</w:t>
      </w:r>
      <w:r>
        <w:t xml:space="preserve"> </w:t>
      </w:r>
      <w:r>
        <w:t xml:space="preserve">system that has gained popularity in recent decades is known as the retention</w:t>
      </w:r>
      <w:r>
        <w:t xml:space="preserve"> </w:t>
      </w:r>
      <w:r>
        <w:t xml:space="preserve">system, which allows for the retention of a range of tree densities, in</w:t>
      </w:r>
      <w:r>
        <w:t xml:space="preserve"> </w:t>
      </w:r>
      <w:r>
        <w:t xml:space="preserve">dispersed or aggregated spatial patterns and can be used to maintain, multiaged</w:t>
      </w:r>
      <w:r>
        <w:t xml:space="preserve"> </w:t>
      </w:r>
      <w:r>
        <w:t xml:space="preserve">stands, or convert from even-aged management</w:t>
      </w:r>
      <w:r>
        <w:t xml:space="preserve"> </w:t>
      </w:r>
      <w:r>
        <w:t xml:space="preserve">(Mitchell and Beese 2002)</w:t>
      </w:r>
      <w:r>
        <w:t xml:space="preserve">.</w:t>
      </w:r>
    </w:p>
    <w:p>
      <w:pPr>
        <w:pStyle w:val="BodyText"/>
      </w:pPr>
      <w:r>
        <w:t xml:space="preserve">Redwood forests offer a prime opportunity for multiaged management because coast</w:t>
      </w:r>
      <w:r>
        <w:t xml:space="preserve"> </w:t>
      </w:r>
      <w:r>
        <w:t xml:space="preserve">redwood (</w:t>
      </w:r>
      <w:r>
        <w:rPr>
          <w:iCs/>
          <w:i/>
        </w:rPr>
        <w:t xml:space="preserve">Sequoia sempervirens</w:t>
      </w:r>
      <w:r>
        <w:t xml:space="preserve">) regenerate reliably via stump sprouting and are</w:t>
      </w:r>
      <w:r>
        <w:t xml:space="preserve"> </w:t>
      </w:r>
      <w:r>
        <w:t xml:space="preserve">relatively shade tolerant. The very high leaf areas observed in these forests,</w:t>
      </w:r>
      <w:r>
        <w:t xml:space="preserve"> </w:t>
      </w:r>
      <w:r>
        <w:t xml:space="preserve">suggest their suitability for a multi-layered forest structure</w:t>
      </w:r>
      <w:r>
        <w:t xml:space="preserve"> </w:t>
      </w:r>
      <w:r>
        <w:t xml:space="preserve">(Berrill and O’Hara 2007; Van Pelt et al. 2016)</w:t>
      </w:r>
      <w:r>
        <w:t xml:space="preserve">.</w:t>
      </w:r>
      <w:r>
        <w:t xml:space="preserve"> </w:t>
      </w:r>
      <w:r>
        <w:t xml:space="preserve">Additionally, with their high timber value and productivity, Redwood forests are</w:t>
      </w:r>
      <w:r>
        <w:t xml:space="preserve"> </w:t>
      </w:r>
      <w:r>
        <w:t xml:space="preserve">of keen interest to private timber producers. Despite redwood’s fitness for</w:t>
      </w:r>
      <w:r>
        <w:t xml:space="preserve"> </w:t>
      </w:r>
      <w:r>
        <w:t xml:space="preserve">multiaged stand structures, the successful development of subordinate cohorts</w:t>
      </w:r>
      <w:r>
        <w:t xml:space="preserve"> </w:t>
      </w:r>
      <w:r>
        <w:t xml:space="preserve">depends on adequate access to light, and light deficiency can lead to reduced</w:t>
      </w:r>
      <w:r>
        <w:t xml:space="preserve"> </w:t>
      </w:r>
      <w:r>
        <w:t xml:space="preserve">vigor and mortality in young sprouts and understory trees</w:t>
      </w:r>
      <w:r>
        <w:t xml:space="preserve"> </w:t>
      </w:r>
      <w:r>
        <w:t xml:space="preserve">(Barrett 1988; Muma et al. 2022; K. L. O’Hara, Stancioiu, and Spencer 2007; Webb et al. 2012)</w:t>
      </w:r>
      <w:r>
        <w:t xml:space="preserve">.</w:t>
      </w:r>
    </w:p>
    <w:p>
      <w:pPr>
        <w:pStyle w:val="BodyText"/>
      </w:pPr>
      <w:r>
        <w:t xml:space="preserve">Complicating redwood regeneration and sprout development is the fact that the</w:t>
      </w:r>
      <w:r>
        <w:t xml:space="preserve"> </w:t>
      </w:r>
      <w:r>
        <w:t xml:space="preserve">competing hardwood species, tanoak (</w:t>
      </w:r>
      <w:r>
        <w:rPr>
          <w:iCs/>
          <w:i/>
        </w:rPr>
        <w:t xml:space="preserve">Notholithocarpus densiflorus</w:t>
      </w:r>
      <w:r>
        <w:t xml:space="preserve">), is also</w:t>
      </w:r>
      <w:r>
        <w:t xml:space="preserve"> </w:t>
      </w:r>
      <w:r>
        <w:t xml:space="preserve">shade tolerant and a vigorous resprouter. Tanoak is a keystone species in terms</w:t>
      </w:r>
      <w:r>
        <w:t xml:space="preserve"> </w:t>
      </w:r>
      <w:r>
        <w:t xml:space="preserve">of wildlife habitat and First Nation’s cultural identities, but from a timber</w:t>
      </w:r>
      <w:r>
        <w:t xml:space="preserve"> </w:t>
      </w:r>
      <w:r>
        <w:t xml:space="preserve">production standpoint it is often perceived as a nuisance due to a lack of</w:t>
      </w:r>
      <w:r>
        <w:t xml:space="preserve"> </w:t>
      </w:r>
      <w:r>
        <w:t xml:space="preserve">market development combined with its widespread proliferation following</w:t>
      </w:r>
      <w:r>
        <w:t xml:space="preserve"> </w:t>
      </w:r>
      <w:r>
        <w:t xml:space="preserve">intensive, repeated conifer harvesting</w:t>
      </w:r>
      <w:r>
        <w:t xml:space="preserve"> </w:t>
      </w:r>
      <w:r>
        <w:t xml:space="preserve">(Bowcutt 2011)</w:t>
      </w:r>
      <w:r>
        <w:t xml:space="preserve">. While</w:t>
      </w:r>
      <w:r>
        <w:t xml:space="preserve"> </w:t>
      </w:r>
      <w:r>
        <w:t xml:space="preserve">redwood grows more quickly than tanoak in multiaged stands, competition from</w:t>
      </w:r>
      <w:r>
        <w:t xml:space="preserve"> </w:t>
      </w:r>
      <w:r>
        <w:t xml:space="preserve">hardwoods such as tanoak reduce conifer growth and drought resistance</w:t>
      </w:r>
      <w:r>
        <w:t xml:space="preserve"> </w:t>
      </w:r>
      <w:r>
        <w:t xml:space="preserve">(Berrill et al. 2018; Dagley et al. 2023)</w:t>
      </w:r>
      <w:r>
        <w:t xml:space="preserve">.</w:t>
      </w:r>
    </w:p>
    <w:p>
      <w:pPr>
        <w:pStyle w:val="BodyText"/>
      </w:pPr>
      <w:r>
        <w:t xml:space="preserve">Throughout many of the fire-adapted forests of California, fire exclusion</w:t>
      </w:r>
      <w:r>
        <w:t xml:space="preserve"> </w:t>
      </w:r>
      <w:r>
        <w:t xml:space="preserve">combined with timber harvest has led to dense, younger stand—often comprised</w:t>
      </w:r>
      <w:r>
        <w:t xml:space="preserve"> </w:t>
      </w:r>
      <w:r>
        <w:t xml:space="preserve">of suppressed trees—proliferation of more fire-sensitive species, and an</w:t>
      </w:r>
      <w:r>
        <w:t xml:space="preserve"> </w:t>
      </w:r>
      <w:r>
        <w:t xml:space="preserve">accumulation of surface fuels</w:t>
      </w:r>
      <w:r>
        <w:t xml:space="preserve"> </w:t>
      </w:r>
      <w:r>
        <w:t xml:space="preserve">(Safford and Stevens 2017; Stephens et al. 2009)</w:t>
      </w:r>
      <w:r>
        <w:t xml:space="preserve">. This situation combined with climate change</w:t>
      </w:r>
      <w:r>
        <w:t xml:space="preserve"> </w:t>
      </w:r>
      <w:r>
        <w:t xml:space="preserve">has led to increased size and frequency of high-severity fires in many regions</w:t>
      </w:r>
      <w:r>
        <w:t xml:space="preserve"> </w:t>
      </w:r>
      <w:r>
        <w:t xml:space="preserve">(Parks and Abatzoglou 2020; Westerling 2016)</w:t>
      </w:r>
      <w:r>
        <w:t xml:space="preserve">, prompting</w:t>
      </w:r>
      <w:r>
        <w:t xml:space="preserve"> </w:t>
      </w:r>
      <w:r>
        <w:t xml:space="preserve">widespread interest in fuel treatments and resilient stand structures.</w:t>
      </w:r>
    </w:p>
    <w:p>
      <w:pPr>
        <w:pStyle w:val="BodyText"/>
      </w:pPr>
      <w:r>
        <w:t xml:space="preserve">This interest has seen less momentum in the redwood region, likely due to the</w:t>
      </w:r>
      <w:r>
        <w:t xml:space="preserve"> </w:t>
      </w:r>
      <w:r>
        <w:t xml:space="preserve">perceived safety of these typically moist forests from the threat of large</w:t>
      </w:r>
      <w:r>
        <w:t xml:space="preserve"> </w:t>
      </w:r>
      <w:r>
        <w:t xml:space="preserve">wildfires. Yet redwood litter is among the most flammable of conifer litter</w:t>
      </w:r>
      <w:r>
        <w:t xml:space="preserve"> </w:t>
      </w:r>
      <w:r>
        <w:t xml:space="preserve">types</w:t>
      </w:r>
      <w:r>
        <w:t xml:space="preserve"> </w:t>
      </w:r>
      <w:r>
        <w:t xml:space="preserve">(Fonda, Belanger, and Burley 1998)</w:t>
      </w:r>
      <w:r>
        <w:t xml:space="preserve">, seasonal drought leads to cured</w:t>
      </w:r>
      <w:r>
        <w:t xml:space="preserve"> </w:t>
      </w:r>
      <w:r>
        <w:t xml:space="preserve">fuels, especially during extended breaks in coastal fog</w:t>
      </w:r>
      <w:r>
        <w:t xml:space="preserve"> </w:t>
      </w:r>
      <w:r>
        <w:t xml:space="preserve">(Jacobs, Cole, and McBride 1985)</w:t>
      </w:r>
      <w:r>
        <w:t xml:space="preserve">, and numerous physiological adaptations</w:t>
      </w:r>
      <w:r>
        <w:t xml:space="preserve"> </w:t>
      </w:r>
      <w:r>
        <w:t xml:space="preserve">suggest that redwood has evolved under fire disturbance pressure</w:t>
      </w:r>
      <w:r>
        <w:t xml:space="preserve"> </w:t>
      </w:r>
      <w:r>
        <w:t xml:space="preserve">(Varner and Jules 2017)</w:t>
      </w:r>
      <w:r>
        <w:t xml:space="preserve">. More concretely, there have been at least six</w:t>
      </w:r>
      <w:r>
        <w:t xml:space="preserve"> </w:t>
      </w:r>
      <w:r>
        <w:t xml:space="preserve">large fires in redwood ecosystems since 2003, burning at least 189,000 ha</w:t>
      </w:r>
      <w:r>
        <w:t xml:space="preserve"> </w:t>
      </w:r>
      <w:r>
        <w:t xml:space="preserve">including widespread areas of canopy loss. Scientific consensus places the</w:t>
      </w:r>
      <w:r>
        <w:t xml:space="preserve"> </w:t>
      </w:r>
      <w:r>
        <w:t xml:space="preserve">pre-colonization fire return interval for redwood forests at 6-25 years across</w:t>
      </w:r>
      <w:r>
        <w:t xml:space="preserve"> </w:t>
      </w:r>
      <w:r>
        <w:t xml:space="preserve">their range</w:t>
      </w:r>
      <w:r>
        <w:t xml:space="preserve"> </w:t>
      </w:r>
      <w:r>
        <w:t xml:space="preserve">(Lorimer et al. 2009)</w:t>
      </w:r>
      <w:r>
        <w:t xml:space="preserve">. It is assumed that</w:t>
      </w:r>
      <w:r>
        <w:t xml:space="preserve"> </w:t>
      </w:r>
      <w:r>
        <w:t xml:space="preserve">much of this activity is attributable to indigenous burning</w:t>
      </w:r>
      <w:r>
        <w:t xml:space="preserve"> </w:t>
      </w:r>
      <w:r>
        <w:t xml:space="preserve">(Varner and Jules 2017)</w:t>
      </w:r>
      <w:r>
        <w:t xml:space="preserve">.</w:t>
      </w:r>
    </w:p>
    <w:p>
      <w:pPr>
        <w:pStyle w:val="BodyText"/>
      </w:pPr>
      <w:r>
        <w:t xml:space="preserve">There have been several studies that have quantified various fuel strata in</w:t>
      </w:r>
      <w:r>
        <w:t xml:space="preserve"> </w:t>
      </w:r>
      <w:r>
        <w:t xml:space="preserve">redwood forests.</w:t>
      </w:r>
      <w:r>
        <w:t xml:space="preserve"> </w:t>
      </w:r>
      <w:r>
        <w:t xml:space="preserve">Kittredge (1940)</w:t>
      </w:r>
      <w:r>
        <w:t xml:space="preserve"> </w:t>
      </w:r>
      <w:r>
        <w:t xml:space="preserve">did so for duff and litter</w:t>
      </w:r>
      <w:r>
        <w:t xml:space="preserve"> </w:t>
      </w:r>
      <w:r>
        <w:t xml:space="preserve">in a redwood plantation.</w:t>
      </w:r>
      <w:r>
        <w:t xml:space="preserve"> </w:t>
      </w:r>
      <w:r>
        <w:t xml:space="preserve">Greenlee (1983)</w:t>
      </w:r>
      <w:r>
        <w:t xml:space="preserve"> </w:t>
      </w:r>
      <w:r>
        <w:t xml:space="preserve">studied fuels at Big</w:t>
      </w:r>
      <w:r>
        <w:t xml:space="preserve"> </w:t>
      </w:r>
      <w:r>
        <w:t xml:space="preserve">Basin State Park.</w:t>
      </w:r>
      <w:r>
        <w:t xml:space="preserve"> </w:t>
      </w:r>
      <w:r>
        <w:t xml:space="preserve">Stuart (1985)</w:t>
      </w:r>
      <w:r>
        <w:t xml:space="preserve"> </w:t>
      </w:r>
      <w:r>
        <w:t xml:space="preserve">reported on fuels at Humboldt</w:t>
      </w:r>
      <w:r>
        <w:t xml:space="preserve"> </w:t>
      </w:r>
      <w:r>
        <w:t xml:space="preserve">Redwoods State Park. Finney and Martin</w:t>
      </w:r>
      <w:r>
        <w:t xml:space="preserve"> </w:t>
      </w:r>
      <w:r>
        <w:t xml:space="preserve">(1993a, 1993b)</w:t>
      </w:r>
      <w:r>
        <w:t xml:space="preserve"> </w:t>
      </w:r>
      <w:r>
        <w:t xml:space="preserve">reported on fuels in second-growth</w:t>
      </w:r>
      <w:r>
        <w:t xml:space="preserve"> </w:t>
      </w:r>
      <w:r>
        <w:t xml:space="preserve">redwood forests (aged ~100 years) at Annadel and Humboldt Redwoods State Parks.</w:t>
      </w:r>
      <w:r>
        <w:t xml:space="preserve"> </w:t>
      </w:r>
      <w:r>
        <w:t xml:space="preserve">Graham (2009)</w:t>
      </w:r>
      <w:r>
        <w:t xml:space="preserve"> </w:t>
      </w:r>
      <w:r>
        <w:t xml:space="preserve">reported on fuels in old-growth stands across</w:t>
      </w:r>
      <w:r>
        <w:t xml:space="preserve"> </w:t>
      </w:r>
      <w:r>
        <w:t xml:space="preserve">redwood’s range.</w:t>
      </w:r>
      <w:r>
        <w:t xml:space="preserve"> </w:t>
      </w:r>
      <w:r>
        <w:t xml:space="preserve">Glebocki (2015)</w:t>
      </w:r>
      <w:r>
        <w:t xml:space="preserve"> </w:t>
      </w:r>
      <w:r>
        <w:t xml:space="preserve">studied fuels with and without</w:t>
      </w:r>
      <w:r>
        <w:t xml:space="preserve"> </w:t>
      </w:r>
      <w:r>
        <w:t xml:space="preserve">thinning treatments in young (&lt; 50 years) redwood-Douglas fir stands. No fuel</w:t>
      </w:r>
      <w:r>
        <w:t xml:space="preserve"> </w:t>
      </w:r>
      <w:r>
        <w:t xml:space="preserve">studies, to my knowledge, have been conducted in redwood forests actively</w:t>
      </w:r>
      <w:r>
        <w:t xml:space="preserve"> </w:t>
      </w:r>
      <w:r>
        <w:t xml:space="preserve">managed with multiaged silviculture, but fuel dynamics represent a potentially</w:t>
      </w:r>
      <w:r>
        <w:t xml:space="preserve"> </w:t>
      </w:r>
      <w:r>
        <w:t xml:space="preserve">important decision variable to consider when managing forest stands that may be</w:t>
      </w:r>
      <w:r>
        <w:t xml:space="preserve"> </w:t>
      </w:r>
      <w:r>
        <w:t xml:space="preserve">subjected to intentional or unintentional fire.</w:t>
      </w:r>
    </w:p>
    <w:bookmarkStart w:id="23" w:name="thinning-effects-summary"/>
    <w:p>
      <w:pPr>
        <w:pStyle w:val="Heading2"/>
      </w:pPr>
      <w:r>
        <w:t xml:space="preserve">1.1 Thinning effects summary</w:t>
      </w:r>
    </w:p>
    <w:p>
      <w:pPr>
        <w:pStyle w:val="FirstParagraph"/>
      </w:pPr>
      <w:r>
        <w:t xml:space="preserve">Short-term impacts of thinning on fuel loads are well-understood across various</w:t>
      </w:r>
      <w:r>
        <w:t xml:space="preserve"> </w:t>
      </w:r>
      <w:r>
        <w:t xml:space="preserve">forest types and thinning methods. However, knowledge of long-term effects is</w:t>
      </w:r>
      <w:r>
        <w:t xml:space="preserve"> </w:t>
      </w:r>
      <w:r>
        <w:t xml:space="preserve">limited</w:t>
      </w:r>
      <w:r>
        <w:t xml:space="preserve"> </w:t>
      </w:r>
      <w:r>
        <w:t xml:space="preserve">(Stephens, Collins, and Roller 2012; Hood et al. 2020)</w:t>
      </w:r>
      <w:r>
        <w:t xml:space="preserve">.</w:t>
      </w:r>
      <w:r>
        <w:t xml:space="preserve"> </w:t>
      </w:r>
      <w:r>
        <w:t xml:space="preserve">Most research focuses on ponderosa pine (Pinus ponderosa) forests in the United</w:t>
      </w:r>
      <w:r>
        <w:t xml:space="preserve"> </w:t>
      </w:r>
      <w:r>
        <w:t xml:space="preserve">States, with some studies in other ecosystems</w:t>
      </w:r>
      <w:r>
        <w:t xml:space="preserve"> </w:t>
      </w:r>
      <w:r>
        <w:t xml:space="preserve">(Schwilk et al. 2009; Burton et al. 2022; Vilà-Vilardell et al. 2023)</w:t>
      </w:r>
      <w:r>
        <w:t xml:space="preserve">.</w:t>
      </w:r>
    </w:p>
    <w:p>
      <w:pPr>
        <w:pStyle w:val="BodyText"/>
      </w:pPr>
      <w:r>
        <w:t xml:space="preserve">Opening the canopy through tree removal can increase surface vegetation</w:t>
      </w:r>
      <w:r>
        <w:t xml:space="preserve"> </w:t>
      </w:r>
      <w:r>
        <w:t xml:space="preserve">(Keyes and Varner 2006)</w:t>
      </w:r>
      <w:r>
        <w:t xml:space="preserve"> </w:t>
      </w:r>
      <w:r>
        <w:t xml:space="preserve">like shrubs</w:t>
      </w:r>
      <w:r>
        <w:t xml:space="preserve"> </w:t>
      </w:r>
      <w:r>
        <w:t xml:space="preserve">(Odland et al. 2021)</w:t>
      </w:r>
      <w:r>
        <w:t xml:space="preserve">, young trees</w:t>
      </w:r>
      <w:r>
        <w:t xml:space="preserve"> </w:t>
      </w:r>
      <w:r>
        <w:t xml:space="preserve">(Hood et al. 2020)</w:t>
      </w:r>
      <w:r>
        <w:t xml:space="preserve">, or herbaceous plants</w:t>
      </w:r>
      <w:r>
        <w:t xml:space="preserve"> </w:t>
      </w:r>
      <w:r>
        <w:t xml:space="preserve">(Vilà-Vilardell et al. 2023)</w:t>
      </w:r>
      <w:r>
        <w:t xml:space="preserve">. Whole-tree harvesting has minimal</w:t>
      </w:r>
      <w:r>
        <w:t xml:space="preserve"> </w:t>
      </w:r>
      <w:r>
        <w:t xml:space="preserve">short-term effects on surface fuels. However, leaving leftover branches and</w:t>
      </w:r>
      <w:r>
        <w:t xml:space="preserve"> </w:t>
      </w:r>
      <w:r>
        <w:t xml:space="preserve">debris (</w:t>
      </w:r>
      <w:r>
        <w:t xml:space="preserve">“</w:t>
      </w:r>
      <w:r>
        <w:t xml:space="preserve">slash</w:t>
      </w:r>
      <w:r>
        <w:t xml:space="preserve">”</w:t>
      </w:r>
      <w:r>
        <w:t xml:space="preserve">) can significantly increase these fuels</w:t>
      </w:r>
      <w:r>
        <w:t xml:space="preserve"> </w:t>
      </w:r>
      <w:r>
        <w:t xml:space="preserve">(Stephens et al. 2009)</w:t>
      </w:r>
      <w:r>
        <w:t xml:space="preserve">.</w:t>
      </w:r>
    </w:p>
    <w:p>
      <w:pPr>
        <w:pStyle w:val="BodyText"/>
      </w:pPr>
      <w:r>
        <w:t xml:space="preserve">Fine dead woody fuels (1-hour to 100-hour) from thinning activities typically</w:t>
      </w:r>
      <w:r>
        <w:t xml:space="preserve"> </w:t>
      </w:r>
      <w:r>
        <w:t xml:space="preserve">decompose within 10 years if left on site</w:t>
      </w:r>
      <w:r>
        <w:t xml:space="preserve"> </w:t>
      </w:r>
      <w:r>
        <w:t xml:space="preserve">(Stephens, Collins, and Roller 2012; Hood et al. 2020; Burton et al. 2022; K. O’Hara et al. 2017; Martinson and Omi 2013)</w:t>
      </w:r>
      <w:r>
        <w:t xml:space="preserve">. More</w:t>
      </w:r>
      <w:r>
        <w:t xml:space="preserve"> </w:t>
      </w:r>
      <w:r>
        <w:t xml:space="preserve">open stands may experience lower duff, litter, and fine woody fuel loads due to</w:t>
      </w:r>
      <w:r>
        <w:t xml:space="preserve"> </w:t>
      </w:r>
      <w:r>
        <w:t xml:space="preserve">faster decomposition rates</w:t>
      </w:r>
      <w:r>
        <w:t xml:space="preserve"> </w:t>
      </w:r>
      <w:r>
        <w:t xml:space="preserve">(Hood et al. 2020; Keane 2008)</w:t>
      </w:r>
      <w:r>
        <w:t xml:space="preserve">.</w:t>
      </w:r>
    </w:p>
    <w:p>
      <w:pPr>
        <w:pStyle w:val="BodyText"/>
      </w:pPr>
      <w:r>
        <w:t xml:space="preserve">Thinning, unlike harvesting, aims to increase growing space for existing trees,</w:t>
      </w:r>
      <w:r>
        <w:t xml:space="preserve"> </w:t>
      </w:r>
      <w:r>
        <w:t xml:space="preserve">not establish new ones. Most fuel loading studies address thinning, with fewer</w:t>
      </w:r>
      <w:r>
        <w:t xml:space="preserve"> </w:t>
      </w:r>
      <w:r>
        <w:t xml:space="preserve">examining harvest impacts</w:t>
      </w:r>
      <w:r>
        <w:t xml:space="preserve"> </w:t>
      </w:r>
      <w:r>
        <w:t xml:space="preserve">(Burton et al. 2022; Hood et al. 2020)</w:t>
      </w:r>
      <w:r>
        <w:t xml:space="preserve">.</w:t>
      </w:r>
    </w:p>
    <w:p>
      <w:pPr>
        <w:pStyle w:val="BodyText"/>
      </w:pPr>
      <w:r>
        <w:t xml:space="preserve">The high variability in thinning methods and their site-specific interactions</w:t>
      </w:r>
      <w:r>
        <w:t xml:space="preserve"> </w:t>
      </w:r>
      <w:r>
        <w:t xml:space="preserve">necessitate further research on different forest structures and their resulting</w:t>
      </w:r>
      <w:r>
        <w:t xml:space="preserve"> </w:t>
      </w:r>
      <w:r>
        <w:t xml:space="preserve">fuel loads</w:t>
      </w:r>
      <w:r>
        <w:t xml:space="preserve"> </w:t>
      </w:r>
      <w:r>
        <w:t xml:space="preserve">(Schwilk et al. 2009; Stephens et al. 2009; Hood et al. 2020)</w:t>
      </w:r>
      <w:r>
        <w:t xml:space="preserve">.</w:t>
      </w:r>
    </w:p>
    <w:bookmarkEnd w:id="23"/>
    <w:bookmarkEnd w:id="24"/>
    <w:bookmarkStart w:id="25" w:name="methods"/>
    <w:p>
      <w:pPr>
        <w:pStyle w:val="Heading1"/>
      </w:pPr>
      <w:r>
        <w:t xml:space="preserve">2. Methods</w:t>
      </w:r>
    </w:p>
    <w:p>
      <w:pPr>
        <w:pStyle w:val="FirstParagraph"/>
      </w:pPr>
      <w:r>
        <w:t xml:space="preserve">This will be the methods.</w:t>
      </w:r>
    </w:p>
    <w:bookmarkEnd w:id="25"/>
    <w:bookmarkStart w:id="69" w:name="results"/>
    <w:p>
      <w:pPr>
        <w:pStyle w:val="Heading1"/>
      </w:pPr>
      <w:r>
        <w:t xml:space="preserve">3. Results</w:t>
      </w:r>
    </w:p>
    <w:bookmarkStart w:id="38" w:name="regeneration-composition"/>
    <w:p>
      <w:pPr>
        <w:pStyle w:val="Heading2"/>
      </w:pPr>
      <w:r>
        <w:t xml:space="preserve">3.1 Regeneration composition</w:t>
      </w:r>
    </w:p>
    <w:bookmarkStart w:id="31" w:name="basal-area"/>
    <w:p>
      <w:pPr>
        <w:pStyle w:val="Heading3"/>
      </w:pPr>
      <w:r>
        <w:t xml:space="preserve">3.1.1 Basal area</w:t>
      </w:r>
    </w:p>
    <w:p>
      <w:pPr>
        <w:pStyle w:val="FirstParagraph"/>
      </w:pPr>
      <w:r>
        <w:t xml:space="preserve">Composition of regeneration in terms of total basal area of each species was</w:t>
      </w:r>
      <w:r>
        <w:t xml:space="preserve"> </w:t>
      </w:r>
      <w:r>
        <w:t xml:space="preserve">modeled as a gamma distribution with a log link with fixed effects for</w:t>
      </w:r>
      <w:r>
        <w:t xml:space="preserve"> </w:t>
      </w:r>
      <w:r>
        <w:t xml:space="preserve">treatment, species, and their interaction and random effects for sites and</w:t>
      </w:r>
      <w:r>
        <w:t xml:space="preserve"> </w:t>
      </w:r>
      <w:r>
        <w:t xml:space="preserve">macro-plots. Dispersion was modeled separately as a function of species, using a</w:t>
      </w:r>
      <w:r>
        <w:t xml:space="preserve"> </w:t>
      </w:r>
      <w:r>
        <w:t xml:space="preserve">log link and the rate of zeros was modeled using the logit link, for each</w:t>
      </w:r>
      <w:r>
        <w:t xml:space="preserve"> </w:t>
      </w:r>
      <w:r>
        <w:t xml:space="preserve">species (</w:t>
      </w:r>
      <w:hyperlink w:anchor="lst-mod-regen-ba">
        <w:r>
          <w:rPr>
            <w:rStyle w:val="Hyperlink"/>
          </w:rPr>
          <w:t xml:space="preserve">Listing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6" w:name="lst-mod-regen-ba"/>
          <w:p>
            <w:pPr>
              <w:jc w:val="center"/>
            </w:pPr>
            <w:pPr>
              <w:jc w:val="start"/>
              <w:spacing w:before="200"/>
              <w:pStyle w:val="ImageCaption"/>
            </w:pPr>
            <w:r>
              <w:t xml:space="preserve">Listing 3.1</w:t>
            </w:r>
          </w:p>
          <w:p>
            <w:pPr>
              <w:pStyle w:val="SourceCode"/>
              <w:jc w:val="center"/>
            </w:pPr>
            <w:r>
              <w:rPr>
                <w:rStyle w:val="VerbatimChar"/>
              </w:rPr>
              <w:t xml:space="preserve">Family: Gamma (log) </w:t>
            </w:r>
            <w:r>
              <w:br/>
            </w:r>
            <w:r>
              <w:rPr>
                <w:rStyle w:val="VerbatimChar"/>
              </w:rPr>
              <w:t xml:space="preserve">Conditional: ba_ha ~ treat * spp + (1 | site/treat)  </w:t>
            </w:r>
            <w:r>
              <w:br/>
            </w:r>
            <w:r>
              <w:rPr>
                <w:rStyle w:val="VerbatimChar"/>
              </w:rPr>
              <w:t xml:space="preserve">Dispersion: ~spp (log) </w:t>
            </w:r>
            <w:r>
              <w:br/>
            </w:r>
            <w:r>
              <w:rPr>
                <w:rStyle w:val="VerbatimChar"/>
              </w:rPr>
              <w:t xml:space="preserve">Hurdle: ~spp (logit) </w:t>
            </w:r>
          </w:p>
          <w:bookmarkEnd w:id="26"/>
        </w:tc>
      </w:tr>
    </w:tbl>
    <w:p>
      <w:pPr>
        <w:pStyle w:val="FirstParagraph"/>
      </w:pPr>
      <w:r>
        <w:t xml:space="preserve">According to this model, we would expect five times as much basal area of other</w:t>
      </w:r>
      <w:r>
        <w:t xml:space="preserve"> </w:t>
      </w:r>
      <w:r>
        <w:t xml:space="preserve">species in LD compared to HA (p = 0.034), and interestingly, six times more other species</w:t>
      </w:r>
      <w:r>
        <w:t xml:space="preserve"> </w:t>
      </w:r>
      <w:r>
        <w:t xml:space="preserve">basal area in HD compared to HA (p = 0.014,</w:t>
      </w:r>
      <w:r>
        <w:t xml:space="preserve"> </w:t>
      </w:r>
      <w:hyperlink w:anchor="fig-mod-regen-ba">
        <w:r>
          <w:rPr>
            <w:rStyle w:val="Hyperlink"/>
          </w:rPr>
          <w:t xml:space="preserve">Figure 3.1</w:t>
        </w:r>
      </w:hyperlink>
      <w:r>
        <w:t xml:space="preserve">).</w:t>
      </w:r>
    </w:p>
    <w:p>
      <w:pPr>
        <w:pStyle w:val="BodyText"/>
      </w:pPr>
      <w:r>
        <w:t xml:space="preserve">We expect 5 times more redwood regeneration basal area in the GS treatment</w:t>
      </w:r>
      <w:r>
        <w:t xml:space="preserve"> </w:t>
      </w:r>
      <w:r>
        <w:t xml:space="preserve">compared to HA (p = 0.03), and 7 times compared to HD (p = 0.02).</w:t>
      </w:r>
    </w:p>
    <w:p>
      <w:pPr>
        <w:pStyle w:val="BodyText"/>
      </w:pPr>
      <w:r>
        <w:t xml:space="preserve">For tanoak, we expect about twice as much regeneration basal area in the GS</w:t>
      </w:r>
      <w:r>
        <w:t xml:space="preserve"> </w:t>
      </w:r>
      <w:r>
        <w:t xml:space="preserve">treatment compared to HA (p = 0.03).</w:t>
      </w:r>
    </w:p>
    <w:tbl>
      <w:tblPr>
        <w:tblStyle w:val="Table"/>
        <w:tblW w:type="pct" w:w="5000"/>
        <w:tblLook w:firstRow="0" w:lastRow="0" w:firstColumn="0" w:lastColumn="0" w:noHBand="0" w:noVBand="0" w:val="0000"/>
        <w:jc w:val="start"/>
        <w:tblLayout w:type="fixed"/>
      </w:tblPr>
      <w:tblGrid>
        <w:gridCol w:w="7920"/>
      </w:tblGrid>
      <w:tr>
        <w:tc>
          <w:tcPr/>
          <w:bookmarkStart w:id="30" w:name="fig-mod-regen-ba"/>
          <w:p>
            <w:pPr>
              <w:pStyle w:val="Compact"/>
              <w:jc w:val="center"/>
            </w:pPr>
            <w:r>
              <w:drawing>
                <wp:inline>
                  <wp:extent cx="4620126" cy="3696101"/>
                  <wp:effectExtent b="0" l="0" r="0" t="0"/>
                  <wp:docPr descr="" title="" id="28" name="Picture"/>
                  <a:graphic>
                    <a:graphicData uri="http://schemas.openxmlformats.org/drawingml/2006/picture">
                      <pic:pic>
                        <pic:nvPicPr>
                          <pic:cNvPr descr="thesis/results_files/figure-docx/fig-mod-regen-ba-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Basal area (m</w:t>
            </w:r>
            <w:r>
              <w:rPr>
                <w:vertAlign w:val="superscript"/>
              </w:rPr>
              <w:t xml:space="preserve">2</w:t>
            </w:r>
            <w:r>
              <w:t xml:space="preserve"> </w:t>
            </w:r>
            <w:r>
              <w:t xml:space="preserve">ha</w:t>
            </w:r>
            <w:r>
              <w:rPr>
                <w:vertAlign w:val="superscript"/>
              </w:rPr>
              <w:t xml:space="preserve">-1</w:t>
            </w:r>
            <w:r>
              <w:t xml:space="preserve">) modeled at the vegetation plot level for four harvest treatments and four species classes (n = 16). Gray bars represent the 95% confidence interval, black dots—the mean, and non-overlapping blue arrows signify statistical significance (α = 0.05).</w:t>
            </w:r>
          </w:p>
          <w:bookmarkEnd w:id="30"/>
        </w:tc>
      </w:tr>
    </w:tbl>
    <w:bookmarkEnd w:id="31"/>
    <w:bookmarkStart w:id="37" w:name="douglas-fir-counts"/>
    <w:p>
      <w:pPr>
        <w:pStyle w:val="Heading3"/>
      </w:pPr>
      <w:r>
        <w:t xml:space="preserve">3.1.2 Douglas-fir counts</w:t>
      </w:r>
    </w:p>
    <w:p>
      <w:pPr>
        <w:pStyle w:val="FirstParagraph"/>
      </w:pPr>
      <w:r>
        <w:t xml:space="preserve">Counts of regenerating Douglas-fir seedlings per vegetation plot (n = 16) were</w:t>
      </w:r>
      <w:r>
        <w:t xml:space="preserve"> </w:t>
      </w:r>
      <w:r>
        <w:t xml:space="preserve">analyzed for differences between harvest treatments using a negative binomial</w:t>
      </w:r>
      <w:r>
        <w:t xml:space="preserve"> </w:t>
      </w:r>
      <w:r>
        <w:t xml:space="preserve">response with a log link, fixed effects for treatment, random effects for site</w:t>
      </w:r>
      <w:r>
        <w:t xml:space="preserve"> </w:t>
      </w:r>
      <w:r>
        <w:t xml:space="preserve">and macro-plot (</w:t>
      </w:r>
      <w:hyperlink w:anchor="lst-mod-df-counts">
        <w:r>
          <w:rPr>
            <w:rStyle w:val="Hyperlink"/>
          </w:rPr>
          <w:t xml:space="preserve">Listing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lst-mod-df-counts"/>
          <w:p>
            <w:pPr>
              <w:jc w:val="center"/>
            </w:pPr>
            <w:pPr>
              <w:jc w:val="start"/>
              <w:spacing w:before="200"/>
              <w:pStyle w:val="ImageCaption"/>
            </w:pPr>
            <w:r>
              <w:t xml:space="preserve">Listing 3.2</w:t>
            </w:r>
          </w:p>
          <w:p>
            <w:pPr>
              <w:pStyle w:val="SourceCode"/>
              <w:jc w:val="center"/>
            </w:pPr>
            <w:r>
              <w:rPr>
                <w:rStyle w:val="VerbatimChar"/>
              </w:rPr>
              <w:t xml:space="preserve">Family: nbinom1 (log) </w:t>
            </w:r>
            <w:r>
              <w:br/>
            </w:r>
            <w:r>
              <w:rPr>
                <w:rStyle w:val="VerbatimChar"/>
              </w:rPr>
              <w:t xml:space="preserve">Conditional: n ~ treat + (1 | site/treat)  </w:t>
            </w:r>
          </w:p>
          <w:bookmarkEnd w:id="32"/>
        </w:tc>
      </w:tr>
    </w:tbl>
    <w:p>
      <w:pPr>
        <w:pStyle w:val="FirstParagraph"/>
      </w:pPr>
      <w:r>
        <w:t xml:space="preserve">This model for Douglas-fir counts does not result in any statistically</w:t>
      </w:r>
      <w:r>
        <w:t xml:space="preserve"> </w:t>
      </w:r>
      <w:r>
        <w:t xml:space="preserve">significant differences between treatments. Generally, we expect about 2</w:t>
      </w:r>
      <w:r>
        <w:t xml:space="preserve"> </w:t>
      </w:r>
      <w:r>
        <w:t xml:space="preserve">seedlings per 4-meter-radius plot, or about 413 seedlings per hectare</w:t>
      </w:r>
      <w:r>
        <w:t xml:space="preserve"> </w:t>
      </w:r>
      <w:r>
        <w:t xml:space="preserve">(</w:t>
      </w:r>
      <w:hyperlink w:anchor="fig-mod-df-counts">
        <w:r>
          <w:rPr>
            <w:rStyle w:val="Hyperlink"/>
          </w:rPr>
          <w:t xml:space="preserve">Figure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mod-df-counts"/>
          <w:p>
            <w:pPr>
              <w:pStyle w:val="Compact"/>
              <w:jc w:val="center"/>
            </w:pPr>
            <w:r>
              <w:drawing>
                <wp:inline>
                  <wp:extent cx="4620126" cy="3696101"/>
                  <wp:effectExtent b="0" l="0" r="0" t="0"/>
                  <wp:docPr descr="" title="" id="34" name="Picture"/>
                  <a:graphic>
                    <a:graphicData uri="http://schemas.openxmlformats.org/drawingml/2006/picture">
                      <pic:pic>
                        <pic:nvPicPr>
                          <pic:cNvPr descr="thesis/results_files/figure-docx/fig-mod-df-count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Vegetation plot level counts of regenerating Douglas-fir seedlings in four harvest treatments 10 years after harvest (n = 16). Results have been scaled to stems per hectare (4-meter radium plots).</w:t>
            </w:r>
          </w:p>
          <w:bookmarkEnd w:id="36"/>
        </w:tc>
      </w:tr>
    </w:tbl>
    <w:bookmarkEnd w:id="37"/>
    <w:bookmarkEnd w:id="38"/>
    <w:bookmarkStart w:id="55" w:name="sprout-heights"/>
    <w:p>
      <w:pPr>
        <w:pStyle w:val="Heading2"/>
      </w:pPr>
      <w:r>
        <w:t xml:space="preserve">3.2 Sprout heights</w:t>
      </w:r>
    </w:p>
    <w:bookmarkStart w:id="48" w:name="height-increment"/>
    <w:p>
      <w:pPr>
        <w:pStyle w:val="Heading3"/>
      </w:pPr>
      <w:r>
        <w:t xml:space="preserve">3.2.1 Height increment</w:t>
      </w:r>
    </w:p>
    <w:p>
      <w:pPr>
        <w:pStyle w:val="FirstParagraph"/>
      </w:pPr>
      <w:r>
        <w:t xml:space="preserve">The selected height increment model used a normal response distribution on the</w:t>
      </w:r>
      <w:r>
        <w:t xml:space="preserve"> </w:t>
      </w:r>
      <w:r>
        <w:t xml:space="preserve">identity link. It included treatment, growth period, species, and the</w:t>
      </w:r>
      <w:r>
        <w:t xml:space="preserve"> </w:t>
      </w:r>
      <w:r>
        <w:t xml:space="preserve">interaction of species and growth period as fixed effects. A random intercept</w:t>
      </w:r>
      <w:r>
        <w:t xml:space="preserve"> </w:t>
      </w:r>
      <w:r>
        <w:t xml:space="preserve">was included for tree (multiple observations) and macro-plot, and a random slope</w:t>
      </w:r>
      <w:r>
        <w:t xml:space="preserve"> </w:t>
      </w:r>
      <w:r>
        <w:t xml:space="preserve">was included for species. The dispersion parameter for the response was modeled</w:t>
      </w:r>
      <w:r>
        <w:t xml:space="preserve"> </w:t>
      </w:r>
      <w:r>
        <w:t xml:space="preserve">(with a log link) as a function of treatment, growth period, species and all</w:t>
      </w:r>
      <w:r>
        <w:t xml:space="preserve"> </w:t>
      </w:r>
      <w:r>
        <w:t xml:space="preserve">three-way interactions (</w:t>
      </w:r>
      <w:hyperlink w:anchor="lst-mod-sprout-ht-inc">
        <w:r>
          <w:rPr>
            <w:rStyle w:val="Hyperlink"/>
          </w:rPr>
          <w:t xml:space="preserve">Listing 3.3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lst-mod-sprout-ht-inc"/>
          <w:p>
            <w:pPr>
              <w:jc w:val="center"/>
            </w:pPr>
            <w:pPr>
              <w:jc w:val="start"/>
              <w:spacing w:before="200"/>
              <w:pStyle w:val="ImageCaption"/>
            </w:pPr>
            <w:r>
              <w:t xml:space="preserve">Listing 3.3</w:t>
            </w:r>
          </w:p>
          <w:p>
            <w:pPr>
              <w:pStyle w:val="SourceCode"/>
              <w:jc w:val="center"/>
            </w:pPr>
            <w:r>
              <w:rPr>
                <w:rStyle w:val="VerbatimChar"/>
              </w:rPr>
              <w:t xml:space="preserve">Family: gaussian (identity) </w:t>
            </w:r>
            <w:r>
              <w:br/>
            </w:r>
            <w:r>
              <w:rPr>
                <w:rStyle w:val="VerbatimChar"/>
              </w:rPr>
              <w:t xml:space="preserve">Conditional: ht_inc ~ treat + year * spp + (1 | tree) + (0 + spp | plot)  </w:t>
            </w:r>
            <w:r>
              <w:br/>
            </w:r>
            <w:r>
              <w:rPr>
                <w:rStyle w:val="VerbatimChar"/>
              </w:rPr>
              <w:t xml:space="preserve">Dispersion: ~spp * year * treat (log) </w:t>
            </w:r>
          </w:p>
          <w:bookmarkEnd w:id="39"/>
        </w:tc>
      </w:tr>
    </w:tbl>
    <w:p>
      <w:pPr>
        <w:pStyle w:val="FirstParagraph"/>
      </w:pPr>
      <w:r>
        <w:t xml:space="preserve">The model selected based on AIC lacks a treatment x species interaction,</w:t>
      </w:r>
      <w:r>
        <w:t xml:space="preserve"> </w:t>
      </w:r>
      <w:r>
        <w:t xml:space="preserve">suggesting that there is not evidence that treatments affected species</w:t>
      </w:r>
      <w:r>
        <w:t xml:space="preserve"> </w:t>
      </w:r>
      <w:r>
        <w:t xml:space="preserve">differentially. It also lacks a treatment x year interaction. This means that</w:t>
      </w:r>
      <w:r>
        <w:t xml:space="preserve"> </w:t>
      </w:r>
      <w:r>
        <w:t xml:space="preserve">there was not enough evidence to support that treatment was related to changes</w:t>
      </w:r>
      <w:r>
        <w:t xml:space="preserve"> </w:t>
      </w:r>
      <w:r>
        <w:t xml:space="preserve">in growth rate.</w:t>
      </w:r>
    </w:p>
    <w:p>
      <w:pPr>
        <w:pStyle w:val="BodyText"/>
      </w:pPr>
      <w:r>
        <w:t xml:space="preserve">The presence of treatment in the model (0.001 ≤ p &lt; 0.03) suggests that</w:t>
      </w:r>
      <w:r>
        <w:t xml:space="preserve"> </w:t>
      </w:r>
      <w:r>
        <w:t xml:space="preserve">the levels of treatment were associated with different growth rates across</w:t>
      </w:r>
      <w:r>
        <w:t xml:space="preserve"> </w:t>
      </w:r>
      <w:r>
        <w:t xml:space="preserve">species and years. And the species x year interaction (p &lt; 0.001) suggests</w:t>
      </w:r>
      <w:r>
        <w:t xml:space="preserve"> </w:t>
      </w:r>
      <w:r>
        <w:t xml:space="preserve">changes in growth rates are different for redwood and tanoak</w:t>
      </w:r>
      <w:r>
        <w:t xml:space="preserve"> </w:t>
      </w:r>
      <w:r>
        <w:t xml:space="preserve">(</w:t>
      </w:r>
      <w:hyperlink w:anchor="fig-mod-sprout-ht-inc-treat">
        <w:r>
          <w:rPr>
            <w:rStyle w:val="Hyperlink"/>
          </w:rPr>
          <w:t xml:space="preserve">Figure 3.3</w:t>
        </w:r>
      </w:hyperlink>
      <w:r>
        <w:t xml:space="preserve">).</w:t>
      </w:r>
    </w:p>
    <w:p>
      <w:pPr>
        <w:pStyle w:val="BodyText"/>
      </w:pPr>
      <w:r>
        <w:t xml:space="preserve">Averaging over growth periods, treatment specific height increments for redwood</w:t>
      </w:r>
      <w:r>
        <w:t xml:space="preserve"> </w:t>
      </w:r>
      <w:r>
        <w:t xml:space="preserve">ranged from 0.66 to 0.86 m yr</w:t>
      </w:r>
      <w:r>
        <w:rPr>
          <w:vertAlign w:val="superscript"/>
        </w:rPr>
        <w:t xml:space="preserve">-1</w:t>
      </w:r>
      <w:r>
        <w:t xml:space="preserve">, and for tanoak, from 0.29 to 0.49, with the</w:t>
      </w:r>
      <w:r>
        <w:t xml:space="preserve"> </w:t>
      </w:r>
      <w:r>
        <w:t xml:space="preserve">slowest growth in the HD treatment and the fastest in the GS treatment. Height</w:t>
      </w:r>
      <w:r>
        <w:t xml:space="preserve"> </w:t>
      </w:r>
      <w:r>
        <w:t xml:space="preserve">increment was greater in the GS treatment than the HA and HD treatments by about</w:t>
      </w:r>
      <w:r>
        <w:t xml:space="preserve"> </w:t>
      </w:r>
      <w:r>
        <w:t xml:space="preserve">0.19 m yr</w:t>
      </w:r>
      <w:r>
        <w:rPr>
          <w:vertAlign w:val="superscript"/>
        </w:rPr>
        <w:t xml:space="preserve">-1</w:t>
      </w:r>
      <w:r>
        <w:t xml:space="preserve"> </w:t>
      </w:r>
      <w:r>
        <w:t xml:space="preserve">(p &lt; 0.001). The LD treatment was intermediate, but not</w:t>
      </w:r>
      <w:r>
        <w:t xml:space="preserve"> </w:t>
      </w:r>
      <w:r>
        <w:t xml:space="preserve">statistically distinguishable from the other treatments (0.13 &lt; p &lt; 0.28).</w:t>
      </w:r>
    </w:p>
    <w:tbl>
      <w:tblPr>
        <w:tblStyle w:val="Table"/>
        <w:tblW w:type="pct" w:w="5000"/>
        <w:tblLook w:firstRow="0" w:lastRow="0" w:firstColumn="0" w:lastColumn="0" w:noHBand="0" w:noVBand="0" w:val="0000"/>
        <w:jc w:val="start"/>
        <w:tblLayout w:type="fixed"/>
      </w:tblPr>
      <w:tblGrid>
        <w:gridCol w:w="7920"/>
      </w:tblGrid>
      <w:tr>
        <w:tc>
          <w:tcPr/>
          <w:bookmarkStart w:id="43" w:name="fig-mod-sprout-ht-inc-treat"/>
          <w:p>
            <w:pPr>
              <w:pStyle w:val="Compact"/>
              <w:jc w:val="center"/>
            </w:pPr>
            <w:r>
              <w:drawing>
                <wp:inline>
                  <wp:extent cx="4620126" cy="3696101"/>
                  <wp:effectExtent b="0" l="0" r="0" t="0"/>
                  <wp:docPr descr="" title="" id="41" name="Picture"/>
                  <a:graphic>
                    <a:graphicData uri="http://schemas.openxmlformats.org/drawingml/2006/picture">
                      <pic:pic>
                        <pic:nvPicPr>
                          <pic:cNvPr descr="thesis/results_files/figure-docx/fig-mod-sprout-ht-inc-trea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Estimated marginal means for the effect of harvest treatment on redwood and tanoak sprout height increment, averaged over two growth periods, ten years after harvest. Gray bars represent confidence intervals and statistical significance (α = 0.05) is indicated by non-overlapping blue arrows.</w:t>
            </w:r>
          </w:p>
          <w:bookmarkEnd w:id="43"/>
        </w:tc>
      </w:tr>
    </w:tbl>
    <w:p>
      <w:pPr>
        <w:pStyle w:val="BodyText"/>
      </w:pPr>
      <w:r>
        <w:t xml:space="preserve">Redwood growth slowed from 0.80 to 0.67 m yr</w:t>
      </w:r>
      <w:r>
        <w:rPr>
          <w:vertAlign w:val="superscript"/>
        </w:rPr>
        <w:t xml:space="preserve">-1</w:t>
      </w:r>
      <w:r>
        <w:t xml:space="preserve"> </w:t>
      </w:r>
      <w:r>
        <w:t xml:space="preserve">in the second period and tanoak</w:t>
      </w:r>
      <w:r>
        <w:t xml:space="preserve"> </w:t>
      </w:r>
      <w:r>
        <w:t xml:space="preserve">slowed from 0.39 to 0.34 m yr</w:t>
      </w:r>
      <w:r>
        <w:rPr>
          <w:vertAlign w:val="superscript"/>
        </w:rPr>
        <w:t xml:space="preserve">-1</w:t>
      </w:r>
      <w:r>
        <w:t xml:space="preserve">.</w:t>
      </w:r>
    </w:p>
    <w:p>
      <w:pPr>
        <w:pStyle w:val="BodyText"/>
      </w:pPr>
      <w:r>
        <w:t xml:space="preserve">Redwood grew faster than tanoak, but slowed down more relative to it in the</w:t>
      </w:r>
      <w:r>
        <w:t xml:space="preserve"> </w:t>
      </w:r>
      <w:r>
        <w:t xml:space="preserve">second period. Height increment for redwood was 0.42 m yr</w:t>
      </w:r>
      <w:r>
        <w:rPr>
          <w:vertAlign w:val="superscript"/>
        </w:rPr>
        <w:t xml:space="preserve">-1</w:t>
      </w:r>
      <w:r>
        <w:t xml:space="preserve"> </w:t>
      </w:r>
      <w:r>
        <w:t xml:space="preserve">greater in the</w:t>
      </w:r>
      <w:r>
        <w:t xml:space="preserve"> </w:t>
      </w:r>
      <w:r>
        <w:t xml:space="preserve">first period and 0.33 m yr</w:t>
      </w:r>
      <w:r>
        <w:rPr>
          <w:vertAlign w:val="superscript"/>
        </w:rPr>
        <w:t xml:space="preserve">-1</w:t>
      </w:r>
      <w:r>
        <w:t xml:space="preserve"> </w:t>
      </w:r>
      <w:r>
        <w:t xml:space="preserve">greater in the second period than tanoak height</w:t>
      </w:r>
      <w:r>
        <w:t xml:space="preserve"> </w:t>
      </w:r>
      <w:r>
        <w:t xml:space="preserve">increment (</w:t>
      </w:r>
      <w:hyperlink w:anchor="fig-mod-sprout-ht-inc-year">
        <w:r>
          <w:rPr>
            <w:rStyle w:val="Hyperlink"/>
          </w:rPr>
          <w:t xml:space="preserve">Figure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7" w:name="fig-mod-sprout-ht-inc-year"/>
          <w:p>
            <w:pPr>
              <w:pStyle w:val="Compact"/>
              <w:jc w:val="center"/>
            </w:pPr>
            <w:r>
              <w:drawing>
                <wp:inline>
                  <wp:extent cx="4620126" cy="3696101"/>
                  <wp:effectExtent b="0" l="0" r="0" t="0"/>
                  <wp:docPr descr="" title="" id="45" name="Picture"/>
                  <a:graphic>
                    <a:graphicData uri="http://schemas.openxmlformats.org/drawingml/2006/picture">
                      <pic:pic>
                        <pic:nvPicPr>
                          <pic:cNvPr descr="thesis/results_files/figure-docx/fig-mod-sprout-ht-inc-year-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3.4: Estimated marginal means for the effect of growth period on redwood and tanoak sprout height increment, averaged over four harvest treatments, from years 1 to 5, and years 5 to 10 after harvest, plotted alongside actual data. Gray bars represent confidence intervals and statistical significance (α = 0.05) is indicated by non-overlapping blue arrows.</w:t>
            </w:r>
          </w:p>
          <w:bookmarkEnd w:id="47"/>
        </w:tc>
      </w:tr>
    </w:tbl>
    <w:bookmarkEnd w:id="48"/>
    <w:bookmarkStart w:id="54" w:name="height-at-year-10"/>
    <w:p>
      <w:pPr>
        <w:pStyle w:val="Heading3"/>
      </w:pPr>
      <w:r>
        <w:t xml:space="preserve">3.2.2 Height at year 10</w:t>
      </w:r>
    </w:p>
    <w:p>
      <w:pPr>
        <w:pStyle w:val="FirstParagraph"/>
      </w:pPr>
      <w:r>
        <w:t xml:space="preserve">Sprout heights at year 10 were modeled with a normal response and a log link.</w:t>
      </w:r>
      <w:r>
        <w:t xml:space="preserve"> </w:t>
      </w:r>
      <w:r>
        <w:t xml:space="preserve">The best model included species and treatment, but no interactions in the fixed</w:t>
      </w:r>
      <w:r>
        <w:t xml:space="preserve"> </w:t>
      </w:r>
      <w:r>
        <w:t xml:space="preserve">effects. This suggests that treatments do not affect species differentially. It</w:t>
      </w:r>
      <w:r>
        <w:t xml:space="preserve"> </w:t>
      </w:r>
      <w:r>
        <w:t xml:space="preserve">also included a model for dispersion (log link) that had species, treatment, and</w:t>
      </w:r>
      <w:r>
        <w:t xml:space="preserve"> </w:t>
      </w:r>
      <w:r>
        <w:t xml:space="preserve">their interaction as predictors (</w:t>
      </w:r>
      <w:hyperlink w:anchor="lst-mod-sprout-ht-yr-10">
        <w:r>
          <w:rPr>
            <w:rStyle w:val="Hyperlink"/>
          </w:rPr>
          <w:t xml:space="preserve">Listing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lst-mod-sprout-ht-yr-10"/>
          <w:p>
            <w:pPr>
              <w:jc w:val="center"/>
            </w:pPr>
            <w:pPr>
              <w:jc w:val="start"/>
              <w:spacing w:before="200"/>
              <w:pStyle w:val="ImageCaption"/>
            </w:pPr>
            <w:r>
              <w:t xml:space="preserve">Listing 3.4</w:t>
            </w:r>
          </w:p>
          <w:p>
            <w:pPr>
              <w:pStyle w:val="SourceCode"/>
              <w:jc w:val="center"/>
            </w:pPr>
            <w:r>
              <w:rPr>
                <w:rStyle w:val="VerbatimChar"/>
              </w:rPr>
              <w:t xml:space="preserve">Family: gaussian (log) </w:t>
            </w:r>
            <w:r>
              <w:br/>
            </w:r>
            <w:r>
              <w:rPr>
                <w:rStyle w:val="VerbatimChar"/>
              </w:rPr>
              <w:t xml:space="preserve">Conditional: ht ~ treat + spp + (0 + spp | plot)  </w:t>
            </w:r>
            <w:r>
              <w:br/>
            </w:r>
            <w:r>
              <w:rPr>
                <w:rStyle w:val="VerbatimChar"/>
              </w:rPr>
              <w:t xml:space="preserve">Dispersion: ~spp * treat (log) </w:t>
            </w:r>
          </w:p>
          <w:bookmarkEnd w:id="49"/>
        </w:tc>
      </w:tr>
    </w:tbl>
    <w:p>
      <w:pPr>
        <w:pStyle w:val="FirstParagraph"/>
      </w:pPr>
      <w:r>
        <w:t xml:space="preserve">Because the best model did not contain a species x treatment interaction,</w:t>
      </w:r>
      <w:r>
        <w:t xml:space="preserve"> </w:t>
      </w:r>
      <w:r>
        <w:t xml:space="preserve">comparisons between treatments is the same for both species. The GS treatment</w:t>
      </w:r>
      <w:r>
        <w:t xml:space="preserve"> </w:t>
      </w:r>
      <w:r>
        <w:t xml:space="preserve">resulted in greater heights in year 10 than the other treatments (0.001 &lt; p &lt;</w:t>
      </w:r>
      <w:r>
        <w:t xml:space="preserve"> </w:t>
      </w:r>
      <w:r>
        <w:t xml:space="preserve">0.04). Predicted mean height for redwood ranged from 10.29 m in the GS treatment</w:t>
      </w:r>
      <w:r>
        <w:t xml:space="preserve"> </w:t>
      </w:r>
      <w:r>
        <w:t xml:space="preserve">to 6.16 m in the HD treatment. For tanoak, predicted mean height ranged from</w:t>
      </w:r>
      <w:r>
        <w:t xml:space="preserve"> </w:t>
      </w:r>
      <w:r>
        <w:t xml:space="preserve">5.12 in the GS treatment to 3.04 in the HD treatment. Predicted mean heights</w:t>
      </w:r>
      <w:r>
        <w:t xml:space="preserve"> </w:t>
      </w:r>
      <w:r>
        <w:t xml:space="preserve">followed the pattern GS &gt; LD &gt; HA &gt; HD (</w:t>
      </w:r>
      <w:hyperlink w:anchor="fig-mod-sprout-ht-yr-10">
        <w:r>
          <w:rPr>
            <w:rStyle w:val="Hyperlink"/>
          </w:rPr>
          <w:t xml:space="preserve">Figure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3" w:name="fig-mod-sprout-ht-yr-10"/>
          <w:p>
            <w:pPr>
              <w:pStyle w:val="Compact"/>
              <w:jc w:val="center"/>
            </w:pPr>
            <w:r>
              <w:drawing>
                <wp:inline>
                  <wp:extent cx="4620126" cy="3696101"/>
                  <wp:effectExtent b="0" l="0" r="0" t="0"/>
                  <wp:docPr descr="" title="" id="51" name="Picture"/>
                  <a:graphic>
                    <a:graphicData uri="http://schemas.openxmlformats.org/drawingml/2006/picture">
                      <pic:pic>
                        <pic:nvPicPr>
                          <pic:cNvPr descr="thesis/results_files/figure-docx/fig-mod-sprout-ht-yr-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3.5: Predicted mean height and 95% confidence intervals (gray bars) for redwood and tanoak stump sprouts 10 years after harvest using four different harvest treatments. Non-overlapping blue arrows indicate statistically significant differences between treatments within a species.</w:t>
            </w:r>
          </w:p>
          <w:bookmarkEnd w:id="53"/>
        </w:tc>
      </w:tr>
    </w:tbl>
    <w:bookmarkEnd w:id="54"/>
    <w:bookmarkEnd w:id="55"/>
    <w:bookmarkStart w:id="68" w:name="fuels"/>
    <w:p>
      <w:pPr>
        <w:pStyle w:val="Heading2"/>
      </w:pPr>
      <w:r>
        <w:t xml:space="preserve">3.3 Fuels</w:t>
      </w:r>
    </w:p>
    <w:bookmarkStart w:id="61" w:name="pre-pct"/>
    <w:p>
      <w:pPr>
        <w:pStyle w:val="Heading3"/>
      </w:pPr>
      <w:r>
        <w:t xml:space="preserve">3.3.1 Pre-pct</w:t>
      </w:r>
    </w:p>
    <w:p>
      <w:pPr>
        <w:pStyle w:val="FirstParagraph"/>
      </w:pPr>
      <w:r>
        <w:t xml:space="preserve">Gamma distributed, linear multi-level models, with a log link were used for all</w:t>
      </w:r>
      <w:r>
        <w:t xml:space="preserve"> </w:t>
      </w:r>
      <w:r>
        <w:t xml:space="preserve">six fuel class responses. Random intercepts were specified for three levels of</w:t>
      </w:r>
      <w:r>
        <w:t xml:space="preserve"> </w:t>
      </w:r>
      <w:r>
        <w:t xml:space="preserve">nesting, representing sites, treatment blocks, and transect corners. All models</w:t>
      </w:r>
      <w:r>
        <w:t xml:space="preserve"> </w:t>
      </w:r>
      <w:r>
        <w:t xml:space="preserve">except for the duff &amp; litter model included a hurdle model to account for</w:t>
      </w:r>
      <w:r>
        <w:t xml:space="preserve"> </w:t>
      </w:r>
      <w:r>
        <w:t xml:space="preserve">zero, which was modeled with a logit link. For the 10-hr fuel model, the hurdle</w:t>
      </w:r>
      <w:r>
        <w:t xml:space="preserve"> </w:t>
      </w:r>
      <w:r>
        <w:t xml:space="preserve">portion was modeled as a function of treatment, and for the others, it was</w:t>
      </w:r>
      <w:r>
        <w:t xml:space="preserve"> </w:t>
      </w:r>
      <w:r>
        <w:t xml:space="preserve">modeled as a single rate for all observations. The 10-hr fuel model also</w:t>
      </w:r>
      <w:r>
        <w:t xml:space="preserve"> </w:t>
      </w:r>
      <w:r>
        <w:t xml:space="preserve">included a dispersion model, which was modeled with a log link, using treatment</w:t>
      </w:r>
      <w:r>
        <w:t xml:space="preserve"> </w:t>
      </w:r>
      <w:r>
        <w:t xml:space="preserve">as a predictor (</w:t>
      </w:r>
      <w:hyperlink w:anchor="tbl-mod-fuel-pre-pct">
        <w:r>
          <w:rPr>
            <w:rStyle w:val="Hyperlink"/>
          </w:rPr>
          <w:t xml:space="preserve">Table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6" w:name="tbl-mod-fuel-pre-pct"/>
          <w:p>
            <w:pPr>
              <w:jc w:val="center"/>
            </w:pPr>
            <w:pPr>
              <w:jc w:val="start"/>
              <w:spacing w:before="200"/>
              <w:pStyle w:val="ImageCaption"/>
            </w:pPr>
            <w:r>
              <w:t xml:space="preserve">Table 3.1: Model specifications for six fuel classes before pct.</w:t>
            </w:r>
          </w:p>
          <w:tbl>
            <w:tblPr>
              <w:tblStyle w:val="Table"/>
              <w:tblW w:type="pct" w:w="4835"/>
              <w:tblLook w:firstRow="1" w:lastRow="0" w:firstColumn="0" w:lastColumn="0" w:noHBand="0" w:noVBand="0" w:val="0020"/>
              <w:jc w:val="start"/>
              <w:tblLayout w:type="fixed"/>
            </w:tblPr>
            <w:tblGrid>
              <w:gridCol w:w="1047"/>
              <w:gridCol w:w="589"/>
              <w:gridCol w:w="458"/>
              <w:gridCol w:w="3207"/>
              <w:gridCol w:w="1243"/>
              <w:gridCol w:w="1112"/>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Duff &amp; Litter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~0</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56"/>
          <w:p/>
        </w:tc>
      </w:tr>
    </w:tbl>
    <w:p>
      <w:pPr>
        <w:pStyle w:val="BodyText"/>
      </w:pPr>
      <w:r>
        <w:t xml:space="preserve">For Duff &amp; Litter, the largest difference was between the HD and HA treatments.</w:t>
      </w:r>
      <w:r>
        <w:t xml:space="preserve"> </w:t>
      </w:r>
      <w:r>
        <w:t xml:space="preserve">The HD treatment had about 1.4 times more duff and litter (p = 0.07). Generally,</w:t>
      </w:r>
      <w:r>
        <w:t xml:space="preserve"> </w:t>
      </w:r>
      <w:r>
        <w:t xml:space="preserve">all treatments were similar, with estimated loading of around 50 Mg ha-1.</w:t>
      </w:r>
      <w:r>
        <w:t xml:space="preserve"> </w:t>
      </w:r>
      <w:r>
        <w:t xml:space="preserve">One-hour fuels were around 50% higher in the HA treatment compared to the LD and</w:t>
      </w:r>
      <w:r>
        <w:t xml:space="preserve"> </w:t>
      </w:r>
      <w:r>
        <w:t xml:space="preserve">GS treatments (p = 0.07, and p = 0.01, respectively), with mean differences of</w:t>
      </w:r>
      <w:r>
        <w:t xml:space="preserve"> </w:t>
      </w:r>
      <w:r>
        <w:t xml:space="preserve">around 0.5 Mg ha-1. Ten, hundred and thousand-hour fuels were statistically,</w:t>
      </w:r>
      <w:r>
        <w:t xml:space="preserve"> </w:t>
      </w:r>
      <w:r>
        <w:t xml:space="preserve">very similar across treatments (p = 0.7 — p = 1). Point estimates varied by about</w:t>
      </w:r>
      <w:r>
        <w:t xml:space="preserve"> </w:t>
      </w:r>
      <w:r>
        <w:t xml:space="preserve">1, 3, and &lt;20 Mg ha-1 for ten, hundred, and thousand-hour fuels, respectively</w:t>
      </w:r>
      <w:r>
        <w:t xml:space="preserve"> </w:t>
      </w:r>
      <w:r>
        <w:t xml:space="preserve">(</w:t>
      </w:r>
      <w:hyperlink w:anchor="fig-mod-fuel-pre-pct">
        <w:r>
          <w:rPr>
            <w:rStyle w:val="Hyperlink"/>
          </w:rPr>
          <w:t xml:space="preserve">Figure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0" w:name="fig-mod-fuel-pre-pct"/>
          <w:p>
            <w:pPr>
              <w:pStyle w:val="Compact"/>
              <w:jc w:val="center"/>
            </w:pPr>
            <w:r>
              <w:drawing>
                <wp:inline>
                  <wp:extent cx="5334000" cy="2667000"/>
                  <wp:effectExtent b="0" l="0" r="0" t="0"/>
                  <wp:docPr descr="" title="" id="58" name="Picture"/>
                  <a:graphic>
                    <a:graphicData uri="http://schemas.openxmlformats.org/drawingml/2006/picture">
                      <pic:pic>
                        <pic:nvPicPr>
                          <pic:cNvPr descr="thesis/results_files/figure-docx/fig-mod-fuel-pre-pct-1.png" id="59"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3.6: Estimated marginal means (black dots) confidence intervals (gray bands) and comparisons (blue arrows) of fuel loading across four treatments for six different fuel-class models. Non-overlapping blue arrows indicates statistical significance at the α = 0.05 level.</w:t>
            </w:r>
          </w:p>
          <w:bookmarkEnd w:id="60"/>
        </w:tc>
      </w:tr>
    </w:tbl>
    <w:bookmarkEnd w:id="61"/>
    <w:bookmarkStart w:id="67" w:name="post-pct"/>
    <w:p>
      <w:pPr>
        <w:pStyle w:val="Heading3"/>
      </w:pPr>
      <w:r>
        <w:t xml:space="preserve">3.3.2 Post-pct</w:t>
      </w:r>
    </w:p>
    <w:p>
      <w:pPr>
        <w:pStyle w:val="FirstParagraph"/>
      </w:pPr>
      <w:r>
        <w:t xml:space="preserve">The response for all six, post-pct fuel classes were modeled with a gamma</w:t>
      </w:r>
      <w:r>
        <w:t xml:space="preserve"> </w:t>
      </w:r>
      <w:r>
        <w:t xml:space="preserve">distribution and a log link, and included the same multi-level random effects as</w:t>
      </w:r>
      <w:r>
        <w:t xml:space="preserve"> </w:t>
      </w:r>
      <w:r>
        <w:t xml:space="preserve">for the pre-pct models. Dispersion models with treatment as the only predictor</w:t>
      </w:r>
      <w:r>
        <w:t xml:space="preserve"> </w:t>
      </w:r>
      <w:r>
        <w:t xml:space="preserve">were included for 1-hr and 100-hr fuel classes. All models included a hurdle</w:t>
      </w:r>
      <w:r>
        <w:t xml:space="preserve"> </w:t>
      </w:r>
      <w:r>
        <w:t xml:space="preserve">portion to model zeros using a logit link. For 100-hr fuels, this model included</w:t>
      </w:r>
      <w:r>
        <w:t xml:space="preserve"> </w:t>
      </w:r>
      <w:r>
        <w:t xml:space="preserve">treatment and site as predictors, and for the rest, a constant rate for all</w:t>
      </w:r>
      <w:r>
        <w:t xml:space="preserve"> </w:t>
      </w:r>
      <w:r>
        <w:t xml:space="preserve">observations was used (</w:t>
      </w:r>
      <w:hyperlink w:anchor="tbl-mod-fuel-post-pct">
        <w:r>
          <w:rPr>
            <w:rStyle w:val="Hyperlink"/>
          </w:rPr>
          <w:t xml:space="preserve">Table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2" w:name="tbl-mod-fuel-post-pct"/>
          <w:p>
            <w:pPr>
              <w:jc w:val="center"/>
            </w:pPr>
            <w:pPr>
              <w:jc w:val="start"/>
              <w:spacing w:before="200"/>
              <w:pStyle w:val="ImageCaption"/>
            </w:pPr>
            <w:r>
              <w:t xml:space="preserve">Table 3.2: Model specifications for six fuel classes after pct.</w:t>
            </w:r>
          </w:p>
          <w:tbl>
            <w:tblPr>
              <w:tblStyle w:val="Table"/>
              <w:tblW w:type="pct" w:w="4848"/>
              <w:tblLook w:firstRow="1" w:lastRow="0" w:firstColumn="0" w:lastColumn="0" w:noHBand="0" w:noVBand="0" w:val="0020"/>
              <w:jc w:val="start"/>
              <w:tblLayout w:type="fixed"/>
            </w:tblPr>
            <w:tblGrid>
              <w:gridCol w:w="1440"/>
              <w:gridCol w:w="540"/>
              <w:gridCol w:w="420"/>
              <w:gridCol w:w="2940"/>
              <w:gridCol w:w="1140"/>
              <w:gridCol w:w="1200"/>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 + site</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 Difference</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2"/>
          <w:p/>
        </w:tc>
      </w:tr>
    </w:tbl>
    <w:p>
      <w:pPr>
        <w:pStyle w:val="BodyText"/>
      </w:pPr>
      <w:r>
        <w:t xml:space="preserve">Post-pct resulted in greater stratification of treatments</w:t>
      </w:r>
      <w:r>
        <w:t xml:space="preserve"> </w:t>
      </w:r>
      <w:r>
        <w:t xml:space="preserve">(</w:t>
      </w:r>
      <w:hyperlink w:anchor="fig-mod-fuel-post-pct">
        <w:r>
          <w:rPr>
            <w:rStyle w:val="Hyperlink"/>
          </w:rPr>
          <w:t xml:space="preserve">Figure 3.7</w:t>
        </w:r>
      </w:hyperlink>
      <w:r>
        <w:t xml:space="preserve">). One-hour fuels were</w:t>
      </w:r>
      <w:r>
        <w:t xml:space="preserve"> </w:t>
      </w:r>
      <w:r>
        <w:t xml:space="preserve">generally around 2.4 Mg ha</w:t>
      </w:r>
      <w:r>
        <w:rPr>
          <w:vertAlign w:val="superscript"/>
        </w:rPr>
        <w:t xml:space="preserve">-1</w:t>
      </w:r>
      <w:r>
        <w:t xml:space="preserve">, but the HA treatment had around half of that</w:t>
      </w:r>
      <w:r>
        <w:t xml:space="preserve"> </w:t>
      </w:r>
      <w:r>
        <w:t xml:space="preserve">amount (p = 0.01 — p = 0.02). The GS treatment had the greatest 10-hr fuel</w:t>
      </w:r>
      <w:r>
        <w:t xml:space="preserve"> </w:t>
      </w:r>
      <w:r>
        <w:t xml:space="preserve">loading with 8.8 Mg ha</w:t>
      </w:r>
      <w:r>
        <w:rPr>
          <w:vertAlign w:val="superscript"/>
        </w:rPr>
        <w:t xml:space="preserve">-1</w:t>
      </w:r>
      <w:r>
        <w:t xml:space="preserve">, which was about 1.6, 2.3 and 2.9 times greater than</w:t>
      </w:r>
      <w:r>
        <w:t xml:space="preserve"> </w:t>
      </w:r>
      <w:r>
        <w:t xml:space="preserve">the LD, HA, and HD treatments respectively (p = 0.03, p &lt; 0.001, for the others,</w:t>
      </w:r>
      <w:r>
        <w:t xml:space="preserve"> </w:t>
      </w:r>
      <w:r>
        <w:t xml:space="preserve">respectively). The LD treatment also had about 1.7 times more 10-hr fuels that</w:t>
      </w:r>
      <w:r>
        <w:t xml:space="preserve"> </w:t>
      </w:r>
      <w:r>
        <w:t xml:space="preserve">the HD treatment (5.4 vs. 3 Mg ha</w:t>
      </w:r>
      <w:r>
        <w:rPr>
          <w:vertAlign w:val="superscript"/>
        </w:rPr>
        <w:t xml:space="preserve">-1</w:t>
      </w:r>
      <w:r>
        <w:t xml:space="preserve">, p = 0.001). Hundred-hour fuels were also</w:t>
      </w:r>
      <w:r>
        <w:t xml:space="preserve"> </w:t>
      </w:r>
      <w:r>
        <w:t xml:space="preserve">greatest in the GS treatment, with an average of about 19 Mg ha</w:t>
      </w:r>
      <w:r>
        <w:rPr>
          <w:vertAlign w:val="superscript"/>
        </w:rPr>
        <w:t xml:space="preserve">-1</w:t>
      </w:r>
      <w:r>
        <w:t xml:space="preserve">, which was</w:t>
      </w:r>
      <w:r>
        <w:t xml:space="preserve"> </w:t>
      </w:r>
      <w:r>
        <w:t xml:space="preserve">about 2.6 times greater than in the HD treatment (7 Mg ha</w:t>
      </w:r>
      <w:r>
        <w:rPr>
          <w:vertAlign w:val="superscript"/>
        </w:rPr>
        <w:t xml:space="preserve">-1</w:t>
      </w:r>
      <w:r>
        <w:t xml:space="preserve">, p &lt; 0.001).</w:t>
      </w:r>
      <w:r>
        <w:t xml:space="preserve"> </w:t>
      </w:r>
      <w:r>
        <w:t xml:space="preserve">Thousand-hour fuels were greatest in the HD treatment, with 80 Mg ha</w:t>
      </w:r>
      <w:r>
        <w:rPr>
          <w:vertAlign w:val="superscript"/>
        </w:rPr>
        <w:t xml:space="preserve">-1</w:t>
      </w:r>
      <w:r>
        <w:t xml:space="preserve">, which</w:t>
      </w:r>
      <w:r>
        <w:t xml:space="preserve"> </w:t>
      </w:r>
      <w:r>
        <w:t xml:space="preserve">was about 2.7 times greater than the LD and HD treatments (p = 0.03 and p = 0.05,</w:t>
      </w:r>
      <w:r>
        <w:t xml:space="preserve"> </w:t>
      </w:r>
      <w:r>
        <w:t xml:space="preserve">respectively). Fuel loading for live vegetation was similar across treatments at</w:t>
      </w:r>
      <w:r>
        <w:t xml:space="preserve"> </w:t>
      </w:r>
      <w:r>
        <w:t xml:space="preserve">around 2.5 Mg ha</w:t>
      </w:r>
      <w:r>
        <w:rPr>
          <w:vertAlign w:val="superscript"/>
        </w:rPr>
        <w:t xml:space="preserve">-1</w:t>
      </w:r>
      <w:r>
        <w:t xml:space="preserve">. The pre-post vegetation difference was greatest in the GS</w:t>
      </w:r>
      <w:r>
        <w:t xml:space="preserve"> </w:t>
      </w:r>
      <w:r>
        <w:t xml:space="preserve">treatment at about 31 Mg ha</w:t>
      </w:r>
      <w:r>
        <w:rPr>
          <w:vertAlign w:val="superscript"/>
        </w:rPr>
        <w:t xml:space="preserve">-1</w:t>
      </w:r>
      <w:r>
        <w:t xml:space="preserve">, which was 2.5 and 2.8 times the HD and HA</w:t>
      </w:r>
      <w:r>
        <w:t xml:space="preserve"> </w:t>
      </w:r>
      <w:r>
        <w:t xml:space="preserve">treatments, respectively (p ≈ 0.01).</w:t>
      </w:r>
    </w:p>
    <w:tbl>
      <w:tblPr>
        <w:tblStyle w:val="Table"/>
        <w:tblW w:type="pct" w:w="5000"/>
        <w:tblLook w:firstRow="0" w:lastRow="0" w:firstColumn="0" w:lastColumn="0" w:noHBand="0" w:noVBand="0" w:val="0000"/>
        <w:jc w:val="start"/>
        <w:tblLayout w:type="fixed"/>
      </w:tblPr>
      <w:tblGrid>
        <w:gridCol w:w="7920"/>
      </w:tblGrid>
      <w:tr>
        <w:tc>
          <w:tcPr/>
          <w:bookmarkStart w:id="66" w:name="fig-mod-fuel-post-pct"/>
          <w:p>
            <w:pPr>
              <w:pStyle w:val="Compact"/>
              <w:jc w:val="center"/>
            </w:pPr>
            <w:r>
              <w:drawing>
                <wp:inline>
                  <wp:extent cx="5334000" cy="2667000"/>
                  <wp:effectExtent b="0" l="0" r="0" t="0"/>
                  <wp:docPr descr="" title="" id="64" name="Picture"/>
                  <a:graphic>
                    <a:graphicData uri="http://schemas.openxmlformats.org/drawingml/2006/picture">
                      <pic:pic>
                        <pic:nvPicPr>
                          <pic:cNvPr descr="thesis/results_files/figure-docx/fig-mod-fuel-post-pct-1.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3.7: Estimated marginal means (black dots) confidence intervals (gray bars) and comparisons (blue arrows) of fuel loading across four treatments for six different fuel-class models. Non-overlapping red arrows indicates statistical significance at the α = 0.05 level. Vegetation difference equals the transect level difference in vegetation load in the pre and post-pct conditions. This represents slash fuels recruited to the forest floor following the pre-commercial thinning.</w:t>
            </w:r>
          </w:p>
          <w:bookmarkEnd w:id="66"/>
        </w:tc>
      </w:tr>
    </w:tbl>
    <w:bookmarkEnd w:id="67"/>
    <w:bookmarkEnd w:id="68"/>
    <w:bookmarkEnd w:id="69"/>
    <w:bookmarkStart w:id="146" w:name="discussion"/>
    <w:p>
      <w:pPr>
        <w:pStyle w:val="Heading1"/>
      </w:pPr>
      <w:r>
        <w:t xml:space="preserve">4. Discussion</w:t>
      </w:r>
    </w:p>
    <w:p>
      <w:pPr>
        <w:pStyle w:val="FirstParagraph"/>
      </w:pPr>
      <w:r>
        <w:t xml:space="preserve">This will be the discussion</w:t>
      </w:r>
    </w:p>
    <w:bookmarkStart w:id="145" w:name="refs"/>
    <w:bookmarkStart w:id="70" w:name="ref-apletEvenVsUnevenAged1994"/>
    <w:p>
      <w:pPr>
        <w:pStyle w:val="Bibliography"/>
      </w:pPr>
      <w:r>
        <w:t xml:space="preserve">Aplet, Gregory H. 1994.</w:t>
      </w:r>
      <w:r>
        <w:t xml:space="preserve"> </w:t>
      </w:r>
      <w:r>
        <w:t xml:space="preserve">“Beyond</w:t>
      </w:r>
      <w:r>
        <w:t xml:space="preserve"> </w:t>
      </w:r>
      <w:r>
        <w:t xml:space="preserve">Even-</w:t>
      </w:r>
      <w:r>
        <w:t xml:space="preserve"> </w:t>
      </w:r>
      <w:r>
        <w:t xml:space="preserve">Vs.</w:t>
      </w:r>
      <w:r>
        <w:t xml:space="preserve"> </w:t>
      </w:r>
      <w:r>
        <w:t xml:space="preserve">Uneven-Aged Management</w:t>
      </w:r>
      <w:r>
        <w:t xml:space="preserve">:</w:t>
      </w:r>
      <w:r>
        <w:t xml:space="preserve"> </w:t>
      </w:r>
      <w:r>
        <w:t xml:space="preserve">Toward</w:t>
      </w:r>
      <w:r>
        <w:t xml:space="preserve"> </w:t>
      </w:r>
      <w:r>
        <w:t xml:space="preserve">a</w:t>
      </w:r>
      <w:r>
        <w:t xml:space="preserve"> </w:t>
      </w:r>
      <w:r>
        <w:t xml:space="preserve">Cohort-Based Silviculture</w:t>
      </w:r>
      <w:r>
        <w:t xml:space="preserve">.”</w:t>
      </w:r>
      <w:r>
        <w:t xml:space="preserve"> </w:t>
      </w:r>
      <w:r>
        <w:t xml:space="preserve">In</w:t>
      </w:r>
      <w:r>
        <w:t xml:space="preserve"> </w:t>
      </w:r>
      <w:r>
        <w:rPr>
          <w:iCs/>
          <w:i/>
        </w:rPr>
        <w:t xml:space="preserve">Assessing</w:t>
      </w:r>
      <w:r>
        <w:rPr>
          <w:iCs/>
          <w:i/>
        </w:rPr>
        <w:t xml:space="preserve"> </w:t>
      </w:r>
      <w:r>
        <w:rPr>
          <w:iCs/>
          <w:i/>
        </w:rPr>
        <w:t xml:space="preserve">Forest Ecosystem Health</w:t>
      </w:r>
      <w:r>
        <w:rPr>
          <w:iCs/>
          <w:i/>
        </w:rPr>
        <w:t xml:space="preserve"> </w:t>
      </w:r>
      <w:r>
        <w:rPr>
          <w:iCs/>
          <w:i/>
        </w:rPr>
        <w:t xml:space="preserve">in the</w:t>
      </w:r>
      <w:r>
        <w:rPr>
          <w:iCs/>
          <w:i/>
        </w:rPr>
        <w:t xml:space="preserve"> </w:t>
      </w:r>
      <w:r>
        <w:rPr>
          <w:iCs/>
          <w:i/>
        </w:rPr>
        <w:t xml:space="preserve">Inland West</w:t>
      </w:r>
      <w:r>
        <w:t xml:space="preserve">. Routledge.</w:t>
      </w:r>
    </w:p>
    <w:bookmarkEnd w:id="70"/>
    <w:bookmarkStart w:id="71" w:name="ref-barrettModelThirdGrowth1988"/>
    <w:p>
      <w:pPr>
        <w:pStyle w:val="Bibliography"/>
      </w:pPr>
      <w:r>
        <w:t xml:space="preserve">Barrett, Matthew M. 1988.</w:t>
      </w:r>
      <w:r>
        <w:t xml:space="preserve"> </w:t>
      </w:r>
      <w:r>
        <w:t xml:space="preserve">“A Model of Third Growth Coastal Redwood Sprout Establishment and Growth Under Various Levels of Overstory Removal.”</w:t>
      </w:r>
      <w:r>
        <w:t xml:space="preserve"> </w:t>
      </w:r>
      <w:r>
        <w:t xml:space="preserve">Master’s thesis, Humboldt State University.</w:t>
      </w:r>
    </w:p>
    <w:bookmarkEnd w:id="71"/>
    <w:bookmarkStart w:id="73" w:name="ref-beeseTwoDecadesVariable2019"/>
    <w:p>
      <w:pPr>
        <w:pStyle w:val="Bibliography"/>
      </w:pPr>
      <w:r>
        <w:t xml:space="preserve">Beese, William J., John Deal, B. Glen Dunsworth, Stephen J. Mitchell, and Timothy J. Philpott. 2019.</w:t>
      </w:r>
      <w:r>
        <w:t xml:space="preserve"> </w:t>
      </w:r>
      <w:r>
        <w:t xml:space="preserve">“Two Decades of Variable Retention in</w:t>
      </w:r>
      <w:r>
        <w:t xml:space="preserve"> </w:t>
      </w:r>
      <w:r>
        <w:t xml:space="preserve">British Columbia</w:t>
      </w:r>
      <w:r>
        <w:t xml:space="preserve">: A Review of Its Implementation and Effectiveness for Biodiversity Conservation.”</w:t>
      </w:r>
      <w:r>
        <w:t xml:space="preserve"> </w:t>
      </w:r>
      <w:r>
        <w:rPr>
          <w:iCs/>
          <w:i/>
        </w:rPr>
        <w:t xml:space="preserve">Ecological Processes</w:t>
      </w:r>
      <w:r>
        <w:t xml:space="preserve"> </w:t>
      </w:r>
      <w:r>
        <w:t xml:space="preserve">8 (1): 33.</w:t>
      </w:r>
      <w:r>
        <w:t xml:space="preserve"> </w:t>
      </w:r>
      <w:hyperlink r:id="rId72">
        <w:r>
          <w:rPr>
            <w:rStyle w:val="Hyperlink"/>
          </w:rPr>
          <w:t xml:space="preserve">https://doi.org/10.1186/s13717-019-0181-9</w:t>
        </w:r>
      </w:hyperlink>
      <w:r>
        <w:t xml:space="preserve">.</w:t>
      </w:r>
    </w:p>
    <w:bookmarkEnd w:id="73"/>
    <w:bookmarkStart w:id="75" w:name="ref-berrillPatternsLeafArea2007"/>
    <w:p>
      <w:pPr>
        <w:pStyle w:val="Bibliography"/>
      </w:pPr>
      <w:r>
        <w:t xml:space="preserve">Berrill, John-Pascal, and Kevin L. O’Hara. 2007.</w:t>
      </w:r>
      <w:r>
        <w:t xml:space="preserve"> </w:t>
      </w:r>
      <w:r>
        <w:t xml:space="preserve">“Patterns of Leaf Area and Growing Space Efficiency in Young Even-Aged and Multiaged Coast Redwood Stands.”</w:t>
      </w:r>
      <w:r>
        <w:t xml:space="preserve"> </w:t>
      </w:r>
      <w:r>
        <w:rPr>
          <w:iCs/>
          <w:i/>
        </w:rPr>
        <w:t xml:space="preserve">Canadian Journal of Forest Research</w:t>
      </w:r>
      <w:r>
        <w:t xml:space="preserve"> </w:t>
      </w:r>
      <w:r>
        <w:t xml:space="preserve">37 (3): 617–26.</w:t>
      </w:r>
      <w:r>
        <w:t xml:space="preserve"> </w:t>
      </w:r>
      <w:hyperlink r:id="rId74">
        <w:r>
          <w:rPr>
            <w:rStyle w:val="Hyperlink"/>
          </w:rPr>
          <w:t xml:space="preserve">https://doi.org/10.1139/X06-271</w:t>
        </w:r>
      </w:hyperlink>
      <w:r>
        <w:t xml:space="preserve">.</w:t>
      </w:r>
    </w:p>
    <w:bookmarkEnd w:id="75"/>
    <w:bookmarkStart w:id="77" w:name="ref-berrillUnderstoryLightPredicts2018"/>
    <w:p>
      <w:pPr>
        <w:pStyle w:val="Bibliography"/>
      </w:pPr>
      <w:r>
        <w:t xml:space="preserve">Berrill, John-Pascal, Kurt Schneider, Christa M. Dagley, and Lynn A. Webb. 2018.</w:t>
      </w:r>
      <w:r>
        <w:t xml:space="preserve"> </w:t>
      </w:r>
      <w:r>
        <w:t xml:space="preserve">“Understory Light Predicts Stump Sprout Growth in Mixed Multiaged Stands in North Coastal</w:t>
      </w:r>
      <w:r>
        <w:t xml:space="preserve"> </w:t>
      </w:r>
      <w:r>
        <w:t xml:space="preserve">California</w:t>
      </w:r>
      <w:r>
        <w:t xml:space="preserve">.”</w:t>
      </w:r>
      <w:r>
        <w:t xml:space="preserve"> </w:t>
      </w:r>
      <w:r>
        <w:rPr>
          <w:iCs/>
          <w:i/>
        </w:rPr>
        <w:t xml:space="preserve">New Forests</w:t>
      </w:r>
      <w:r>
        <w:t xml:space="preserve"> </w:t>
      </w:r>
      <w:r>
        <w:t xml:space="preserve">49 (6): 815–28.</w:t>
      </w:r>
      <w:r>
        <w:t xml:space="preserve"> </w:t>
      </w:r>
      <w:hyperlink r:id="rId76">
        <w:r>
          <w:rPr>
            <w:rStyle w:val="Hyperlink"/>
          </w:rPr>
          <w:t xml:space="preserve">https://doi.org/10.1007/s11056-018-9636-6</w:t>
        </w:r>
      </w:hyperlink>
      <w:r>
        <w:t xml:space="preserve">.</w:t>
      </w:r>
    </w:p>
    <w:bookmarkEnd w:id="77"/>
    <w:bookmarkStart w:id="78" w:name="ref-bowcuttTanoakTargetRise2011"/>
    <w:p>
      <w:pPr>
        <w:pStyle w:val="Bibliography"/>
      </w:pPr>
      <w:r>
        <w:t xml:space="preserve">Bowcutt, Frederica. 2011.</w:t>
      </w:r>
      <w:r>
        <w:t xml:space="preserve"> </w:t>
      </w:r>
      <w:r>
        <w:t xml:space="preserve">“Tanoak Target: The Rise and Fall of Herbicide Use on a Common Native Tree.”</w:t>
      </w:r>
      <w:r>
        <w:t xml:space="preserve"> </w:t>
      </w:r>
      <w:r>
        <w:rPr>
          <w:iCs/>
          <w:i/>
        </w:rPr>
        <w:t xml:space="preserve">Environmental History</w:t>
      </w:r>
      <w:r>
        <w:t xml:space="preserve"> </w:t>
      </w:r>
      <w:r>
        <w:t xml:space="preserve">16 (2): 197–225.</w:t>
      </w:r>
    </w:p>
    <w:bookmarkEnd w:id="78"/>
    <w:bookmarkStart w:id="80" w:name="ref-burtonFineFuelChanges2022"/>
    <w:p>
      <w:pPr>
        <w:pStyle w:val="Bibliography"/>
      </w:pPr>
      <w:r>
        <w:t xml:space="preserve">Burton, Jamie E., Jane G. Cawson, Alexander I. Filkov, and Trent D. Penman. 2022.</w:t>
      </w:r>
      <w:r>
        <w:t xml:space="preserve"> </w:t>
      </w:r>
      <w:r>
        <w:t xml:space="preserve">“Fine Fuel Changes Due to Timber Harvesting and Frequent Prescribed Burning in Eucalypt Forests of Southeastern</w:t>
      </w:r>
      <w:r>
        <w:t xml:space="preserve"> </w:t>
      </w:r>
      <w:r>
        <w:t xml:space="preserve">Australia</w:t>
      </w:r>
      <w:r>
        <w:t xml:space="preserve">.”</w:t>
      </w:r>
      <w:r>
        <w:t xml:space="preserve"> </w:t>
      </w:r>
      <w:r>
        <w:rPr>
          <w:iCs/>
          <w:i/>
        </w:rPr>
        <w:t xml:space="preserve">Forest Ecology and Management</w:t>
      </w:r>
      <w:r>
        <w:t xml:space="preserve"> </w:t>
      </w:r>
      <w:r>
        <w:t xml:space="preserve">520 (September): 120353.</w:t>
      </w:r>
      <w:r>
        <w:t xml:space="preserve"> </w:t>
      </w:r>
      <w:hyperlink r:id="rId79">
        <w:r>
          <w:rPr>
            <w:rStyle w:val="Hyperlink"/>
          </w:rPr>
          <w:t xml:space="preserve">https://doi.org/10.1016/j.foreco.2022.120353</w:t>
        </w:r>
      </w:hyperlink>
      <w:r>
        <w:t xml:space="preserve">.</w:t>
      </w:r>
    </w:p>
    <w:bookmarkEnd w:id="80"/>
    <w:bookmarkStart w:id="82" w:name="ref-dagleyHeavyCrownThinning2023"/>
    <w:p>
      <w:pPr>
        <w:pStyle w:val="Bibliography"/>
      </w:pPr>
      <w:r>
        <w:t xml:space="preserve">Dagley, Christa M., Judson Fisher, Jason Teraoka, Scott Powell, and John-Pascal Berrill. 2023.</w:t>
      </w:r>
      <w:r>
        <w:t xml:space="preserve"> </w:t>
      </w:r>
      <w:r>
        <w:t xml:space="preserve">“Heavy Crown Thinning in Redwood/</w:t>
      </w:r>
      <w:r>
        <w:t xml:space="preserve">Douglas-fir</w:t>
      </w:r>
      <w:r>
        <w:t xml:space="preserve"> </w:t>
      </w:r>
      <w:r>
        <w:t xml:space="preserve">Gave Superior Forest Restoration Outcomes After 10 Years.”</w:t>
      </w:r>
      <w:r>
        <w:t xml:space="preserve"> </w:t>
      </w:r>
      <w:r>
        <w:rPr>
          <w:iCs/>
          <w:i/>
        </w:rPr>
        <w:t xml:space="preserve">Canadian Journal of Forest Research</w:t>
      </w:r>
      <w:r>
        <w:t xml:space="preserve"> </w:t>
      </w:r>
      <w:r>
        <w:t xml:space="preserve">53 (8): 579–90.</w:t>
      </w:r>
      <w:r>
        <w:t xml:space="preserve"> </w:t>
      </w:r>
      <w:hyperlink r:id="rId81">
        <w:r>
          <w:rPr>
            <w:rStyle w:val="Hyperlink"/>
          </w:rPr>
          <w:t xml:space="preserve">https://doi.org/10.1139/cjfr-2022-0214</w:t>
        </w:r>
      </w:hyperlink>
      <w:r>
        <w:t xml:space="preserve">.</w:t>
      </w:r>
    </w:p>
    <w:bookmarkEnd w:id="82"/>
    <w:bookmarkStart w:id="83" w:name="ref-finneyFuelLoadingBulk1993"/>
    <w:p>
      <w:pPr>
        <w:pStyle w:val="Bibliography"/>
      </w:pPr>
      <w:r>
        <w:t xml:space="preserve">Finney, Mark A., and Robert E. Martin. 1993a.</w:t>
      </w:r>
      <w:r>
        <w:t xml:space="preserve"> </w:t>
      </w:r>
      <w:r>
        <w:t xml:space="preserve">“Fuel Loading, Bulk Density, and Depth of Forest Floor in Coast Redwood Stands.”</w:t>
      </w:r>
      <w:r>
        <w:t xml:space="preserve"> </w:t>
      </w:r>
      <w:r>
        <w:rPr>
          <w:iCs/>
          <w:i/>
        </w:rPr>
        <w:t xml:space="preserve">Forest Science</w:t>
      </w:r>
      <w:r>
        <w:t xml:space="preserve"> </w:t>
      </w:r>
      <w:r>
        <w:t xml:space="preserve">39 (3): 617–22.</w:t>
      </w:r>
    </w:p>
    <w:bookmarkEnd w:id="83"/>
    <w:bookmarkStart w:id="85" w:name="ref-finneyModelingEffectsPrescribed1993"/>
    <w:p>
      <w:pPr>
        <w:pStyle w:val="Bibliography"/>
      </w:pPr>
      <w:r>
        <w:t xml:space="preserve">———. 1993b.</w:t>
      </w:r>
      <w:r>
        <w:t xml:space="preserve"> </w:t>
      </w:r>
      <w:r>
        <w:t xml:space="preserve">“Modeling Effects of Prescribed Fire on Young-Growth Coast Redwood Trees.”</w:t>
      </w:r>
      <w:r>
        <w:t xml:space="preserve"> </w:t>
      </w:r>
      <w:r>
        <w:rPr>
          <w:iCs/>
          <w:i/>
        </w:rPr>
        <w:t xml:space="preserve">Canadian Journal of Forest Research</w:t>
      </w:r>
      <w:r>
        <w:t xml:space="preserve"> </w:t>
      </w:r>
      <w:r>
        <w:t xml:space="preserve">23 (6): 1125–35.</w:t>
      </w:r>
      <w:r>
        <w:t xml:space="preserve"> </w:t>
      </w:r>
      <w:hyperlink r:id="rId84">
        <w:r>
          <w:rPr>
            <w:rStyle w:val="Hyperlink"/>
          </w:rPr>
          <w:t xml:space="preserve">https://doi.org/10.1139/x93-143</w:t>
        </w:r>
      </w:hyperlink>
      <w:r>
        <w:t xml:space="preserve">.</w:t>
      </w:r>
    </w:p>
    <w:bookmarkEnd w:id="85"/>
    <w:bookmarkStart w:id="86" w:name="X931487919ec4bf6cf170c96cc14a176e58468f6"/>
    <w:p>
      <w:pPr>
        <w:pStyle w:val="Bibliography"/>
      </w:pPr>
      <w:r>
        <w:t xml:space="preserve">Fonda, R. W., L. A. Belanger, and L. L. Burley. 1998.</w:t>
      </w:r>
      <w:r>
        <w:t xml:space="preserve"> </w:t>
      </w:r>
      <w:r>
        <w:t xml:space="preserve">“Burning Characteristics of Western Conifer Needles.”</w:t>
      </w:r>
      <w:r>
        <w:t xml:space="preserve"> </w:t>
      </w:r>
      <w:r>
        <w:rPr>
          <w:iCs/>
          <w:i/>
        </w:rPr>
        <w:t xml:space="preserve">Northwest Science (USA)</w:t>
      </w:r>
      <w:r>
        <w:t xml:space="preserve"> </w:t>
      </w:r>
      <w:r>
        <w:t xml:space="preserve">72 (1): 1–9.</w:t>
      </w:r>
    </w:p>
    <w:bookmarkEnd w:id="86"/>
    <w:bookmarkStart w:id="88" w:name="ref-glebockiFuelLoadingMoisture2015"/>
    <w:p>
      <w:pPr>
        <w:pStyle w:val="Bibliography"/>
      </w:pPr>
      <w:r>
        <w:t xml:space="preserve">Glebocki, Radoslaw. 2015.</w:t>
      </w:r>
      <w:r>
        <w:t xml:space="preserve"> </w:t>
      </w:r>
      <w:r>
        <w:t xml:space="preserve">“Fuel Loading and Moisture Dynamics in Thinned Coast Redwood–</w:t>
      </w:r>
      <w:r>
        <w:t xml:space="preserve">Douglas-fir</w:t>
      </w:r>
      <w:r>
        <w:t xml:space="preserve"> </w:t>
      </w:r>
      <w:r>
        <w:t xml:space="preserve">Forests in</w:t>
      </w:r>
      <w:r>
        <w:t xml:space="preserve"> </w:t>
      </w:r>
      <w:r>
        <w:t xml:space="preserve">Headwaters Forest Reserve</w:t>
      </w:r>
      <w:r>
        <w:t xml:space="preserve">,</w:t>
      </w:r>
      <w:r>
        <w:t xml:space="preserve"> </w:t>
      </w:r>
      <w:r>
        <w:t xml:space="preserve">California</w:t>
      </w:r>
      <w:r>
        <w:t xml:space="preserve">.”</w:t>
      </w:r>
      <w:r>
        <w:t xml:space="preserve"> </w:t>
      </w:r>
      <w:r>
        <w:t xml:space="preserve">Master’s thesis, Humboldt State University.</w:t>
      </w:r>
      <w:r>
        <w:t xml:space="preserve"> </w:t>
      </w:r>
      <w:hyperlink r:id="rId87">
        <w:r>
          <w:rPr>
            <w:rStyle w:val="Hyperlink"/>
          </w:rPr>
          <w:t xml:space="preserve">https://scholarworks.calstate.edu/concern/theses/ws859j014</w:t>
        </w:r>
      </w:hyperlink>
      <w:r>
        <w:t xml:space="preserve">.</w:t>
      </w:r>
    </w:p>
    <w:bookmarkEnd w:id="88"/>
    <w:bookmarkStart w:id="89" w:name="ref-grahamStructureDownedWoody2009"/>
    <w:p>
      <w:pPr>
        <w:pStyle w:val="Bibliography"/>
      </w:pPr>
      <w:r>
        <w:t xml:space="preserve">Graham, Bradley D. 2009.</w:t>
      </w:r>
      <w:r>
        <w:t xml:space="preserve"> </w:t>
      </w:r>
      <w:r>
        <w:t xml:space="preserve">“Structure of Downed Woody and Vegetative Detritus in Old-Growth</w:t>
      </w:r>
      <w:r>
        <w:t xml:space="preserve"> </w:t>
      </w:r>
      <w:r>
        <w:t xml:space="preserve">Sequoia</w:t>
      </w:r>
      <w:r>
        <w:t xml:space="preserve"> </w:t>
      </w:r>
      <w:r>
        <w:t xml:space="preserve">Sempervirens Forests.”</w:t>
      </w:r>
      <w:r>
        <w:t xml:space="preserve"> </w:t>
      </w:r>
      <w:r>
        <w:t xml:space="preserve">MS thesis, Humboldt State University.</w:t>
      </w:r>
    </w:p>
    <w:bookmarkEnd w:id="89"/>
    <w:bookmarkStart w:id="91" w:name="ref-greenleeVegetationFireHistory1983"/>
    <w:p>
      <w:pPr>
        <w:pStyle w:val="Bibliography"/>
      </w:pPr>
      <w:r>
        <w:t xml:space="preserve">Greenlee, Jason Miller. 1983.</w:t>
      </w:r>
      <w:r>
        <w:t xml:space="preserve"> </w:t>
      </w:r>
      <w:r>
        <w:t xml:space="preserve">“Vegetation, Fire History, and Fire Potential of</w:t>
      </w:r>
      <w:r>
        <w:t xml:space="preserve"> </w:t>
      </w:r>
      <w:r>
        <w:t xml:space="preserve">Big Basin Redwoods State Park</w:t>
      </w:r>
      <w:r>
        <w:t xml:space="preserve">,</w:t>
      </w:r>
      <w:r>
        <w:t xml:space="preserve"> </w:t>
      </w:r>
      <w:r>
        <w:t xml:space="preserve">California</w:t>
      </w:r>
      <w:r>
        <w:t xml:space="preserve">.”</w:t>
      </w:r>
      <w:r>
        <w:t xml:space="preserve"> </w:t>
      </w:r>
      <w:r>
        <w:t xml:space="preserve">PhD thesis, Santa Cruz, CA: University of California, Santa Cruz.</w:t>
      </w:r>
      <w:r>
        <w:t xml:space="preserve"> </w:t>
      </w:r>
      <w:hyperlink r:id="rId90">
        <w:r>
          <w:rPr>
            <w:rStyle w:val="Hyperlink"/>
          </w:rPr>
          <w:t xml:space="preserve">https://www.elibrary.ru/item.asp?id=7397149</w:t>
        </w:r>
      </w:hyperlink>
      <w:r>
        <w:t xml:space="preserve">.</w:t>
      </w:r>
    </w:p>
    <w:bookmarkEnd w:id="91"/>
    <w:bookmarkStart w:id="93" w:name="ref-hoodFuelTreatmentLongevity2020"/>
    <w:p>
      <w:pPr>
        <w:pStyle w:val="Bibliography"/>
      </w:pPr>
      <w:r>
        <w:t xml:space="preserve">Hood, Sharon M., Christopher R. Keyes, Katelynn J. Bowen, Duncan C. Lutes, and Carl Seielstad. 2020.</w:t>
      </w:r>
      <w:r>
        <w:t xml:space="preserve"> </w:t>
      </w:r>
      <w:r>
        <w:t xml:space="preserve">“Fuel Treatment Longevity in Ponderosa Pine-Dominated Forest 24 Years After Cutting and Prescribed Burning.”</w:t>
      </w:r>
      <w:r>
        <w:t xml:space="preserve"> </w:t>
      </w:r>
      <w:r>
        <w:rPr>
          <w:iCs/>
          <w:i/>
        </w:rPr>
        <w:t xml:space="preserve">Frontiers in Forests and Global Change</w:t>
      </w:r>
      <w:r>
        <w:t xml:space="preserve"> </w:t>
      </w:r>
      <w:r>
        <w:t xml:space="preserve">3.</w:t>
      </w:r>
      <w:r>
        <w:t xml:space="preserve"> </w:t>
      </w:r>
      <w:hyperlink r:id="rId92">
        <w:r>
          <w:rPr>
            <w:rStyle w:val="Hyperlink"/>
          </w:rPr>
          <w:t xml:space="preserve">https://www.frontiersin.org/articles/10.3389/ffgc.2020.00078</w:t>
        </w:r>
      </w:hyperlink>
      <w:r>
        <w:t xml:space="preserve">.</w:t>
      </w:r>
    </w:p>
    <w:bookmarkEnd w:id="93"/>
    <w:bookmarkStart w:id="95" w:name="ref-jacobsFireHistoryPerpetuation1985"/>
    <w:p>
      <w:pPr>
        <w:pStyle w:val="Bibliography"/>
      </w:pPr>
      <w:r>
        <w:t xml:space="preserve">Jacobs, Diana F., Dana W. Cole, and Joe R. McBride. 1985.</w:t>
      </w:r>
      <w:r>
        <w:t xml:space="preserve"> </w:t>
      </w:r>
      <w:r>
        <w:t xml:space="preserve">“Fire History and Perpetuation of Natural Coast Redwood Ecosystems.”</w:t>
      </w:r>
      <w:r>
        <w:t xml:space="preserve"> </w:t>
      </w:r>
      <w:r>
        <w:rPr>
          <w:iCs/>
          <w:i/>
        </w:rPr>
        <w:t xml:space="preserve">Journal of Forestry</w:t>
      </w:r>
      <w:r>
        <w:t xml:space="preserve"> </w:t>
      </w:r>
      <w:r>
        <w:t xml:space="preserve">83 (8): 494–97.</w:t>
      </w:r>
      <w:r>
        <w:t xml:space="preserve"> </w:t>
      </w:r>
      <w:hyperlink r:id="rId94">
        <w:r>
          <w:rPr>
            <w:rStyle w:val="Hyperlink"/>
          </w:rPr>
          <w:t xml:space="preserve">https://academic.oup.com/jof/article-abstract/83/8/494/4647048</w:t>
        </w:r>
      </w:hyperlink>
      <w:r>
        <w:t xml:space="preserve">.</w:t>
      </w:r>
    </w:p>
    <w:bookmarkEnd w:id="95"/>
    <w:bookmarkStart w:id="97" w:name="ref-keaneBiophysicalControlsSurface2008"/>
    <w:p>
      <w:pPr>
        <w:pStyle w:val="Bibliography"/>
      </w:pPr>
      <w:r>
        <w:t xml:space="preserve">Keane, Robert E. 2008.</w:t>
      </w:r>
      <w:r>
        <w:t xml:space="preserve"> </w:t>
      </w:r>
      <w:r>
        <w:t xml:space="preserve">“Biophysical Controls on Surface Fuel Litterfall and Decomposition in the Northern</w:t>
      </w:r>
      <w:r>
        <w:t xml:space="preserve"> </w:t>
      </w:r>
      <w:r>
        <w:t xml:space="preserve">Rocky Mountains</w:t>
      </w:r>
      <w:r>
        <w:t xml:space="preserve">,</w:t>
      </w:r>
      <w:r>
        <w:t xml:space="preserve"> </w:t>
      </w:r>
      <w:r>
        <w:t xml:space="preserve">USA</w:t>
      </w:r>
      <w:r>
        <w:t xml:space="preserve">.”</w:t>
      </w:r>
      <w:r>
        <w:t xml:space="preserve"> </w:t>
      </w:r>
      <w:r>
        <w:rPr>
          <w:iCs/>
          <w:i/>
        </w:rPr>
        <w:t xml:space="preserve">Canadian Journal of Forest Research</w:t>
      </w:r>
      <w:r>
        <w:t xml:space="preserve"> </w:t>
      </w:r>
      <w:r>
        <w:t xml:space="preserve">38 (6): 1431–45.</w:t>
      </w:r>
      <w:r>
        <w:t xml:space="preserve"> </w:t>
      </w:r>
      <w:hyperlink r:id="rId96">
        <w:r>
          <w:rPr>
            <w:rStyle w:val="Hyperlink"/>
          </w:rPr>
          <w:t xml:space="preserve">https://doi.org/10.1139/X08-003</w:t>
        </w:r>
      </w:hyperlink>
      <w:r>
        <w:t xml:space="preserve">.</w:t>
      </w:r>
    </w:p>
    <w:bookmarkEnd w:id="97"/>
    <w:bookmarkStart w:id="98" w:name="X3d621bc1bef364e271470e60178ad7fea6d886a"/>
    <w:p>
      <w:pPr>
        <w:pStyle w:val="Bibliography"/>
      </w:pPr>
      <w:r>
        <w:t xml:space="preserve">Keyes, Christopher R, and J Morgan Varner. 2006.</w:t>
      </w:r>
      <w:r>
        <w:t xml:space="preserve"> </w:t>
      </w:r>
      <w:r>
        <w:t xml:space="preserve">“Pitfalls in the</w:t>
      </w:r>
      <w:r>
        <w:t xml:space="preserve"> </w:t>
      </w:r>
      <w:r>
        <w:t xml:space="preserve">Silvicultural Treatment</w:t>
      </w:r>
      <w:r>
        <w:t xml:space="preserve"> </w:t>
      </w:r>
      <w:r>
        <w:t xml:space="preserve">of</w:t>
      </w:r>
      <w:r>
        <w:t xml:space="preserve"> </w:t>
      </w:r>
      <w:r>
        <w:t xml:space="preserve">Canopy Fuels</w:t>
      </w:r>
      <w:r>
        <w:t xml:space="preserve">.”</w:t>
      </w:r>
      <w:r>
        <w:t xml:space="preserve"> </w:t>
      </w:r>
      <w:r>
        <w:rPr>
          <w:iCs/>
          <w:i/>
        </w:rPr>
        <w:t xml:space="preserve">Fire Management Today</w:t>
      </w:r>
      <w:r>
        <w:t xml:space="preserve">, 2006.</w:t>
      </w:r>
    </w:p>
    <w:bookmarkEnd w:id="98"/>
    <w:bookmarkStart w:id="100" w:name="ref-kittredgeComparisonForestFloors1940"/>
    <w:p>
      <w:pPr>
        <w:pStyle w:val="Bibliography"/>
      </w:pPr>
      <w:r>
        <w:t xml:space="preserve">Kittredge, Joseph. 1940.</w:t>
      </w:r>
      <w:r>
        <w:t xml:space="preserve"> </w:t>
      </w:r>
      <w:r>
        <w:t xml:space="preserve">“A Comparison of Forest Floors from Plantations of the Same Age and Environment.”</w:t>
      </w:r>
      <w:r>
        <w:t xml:space="preserve"> </w:t>
      </w:r>
      <w:r>
        <w:rPr>
          <w:iCs/>
          <w:i/>
        </w:rPr>
        <w:t xml:space="preserve">Journal of Forestry</w:t>
      </w:r>
      <w:r>
        <w:t xml:space="preserve"> </w:t>
      </w:r>
      <w:r>
        <w:t xml:space="preserve">38 (9): 729–31.</w:t>
      </w:r>
      <w:r>
        <w:t xml:space="preserve"> </w:t>
      </w:r>
      <w:hyperlink r:id="rId99">
        <w:r>
          <w:rPr>
            <w:rStyle w:val="Hyperlink"/>
          </w:rPr>
          <w:t xml:space="preserve">https://doi.org/10.1093/jof/38.9.729</w:t>
        </w:r>
      </w:hyperlink>
      <w:r>
        <w:t xml:space="preserve">.</w:t>
      </w:r>
    </w:p>
    <w:bookmarkEnd w:id="100"/>
    <w:bookmarkStart w:id="102" w:name="X82594c81dcf1d0f92e7b3c64e334c053ad78121"/>
    <w:p>
      <w:pPr>
        <w:pStyle w:val="Bibliography"/>
      </w:pPr>
      <w:r>
        <w:t xml:space="preserve">Lorimer, Craig G., Daniel J. Porter, Mary Ann Madej, John D. Stuart, Stephen D. Veirs, Steven P. Norman, Kevin L. O’Hara, and William J. Libby. 2009.</w:t>
      </w:r>
      <w:r>
        <w:t xml:space="preserve"> </w:t>
      </w:r>
      <w:r>
        <w:t xml:space="preserve">“Presettlement and Modern Disturbance Regimes in Coast Redwood Forests:</w:t>
      </w:r>
      <w:r>
        <w:t xml:space="preserve"> </w:t>
      </w:r>
      <w:r>
        <w:t xml:space="preserve">Implications</w:t>
      </w:r>
      <w:r>
        <w:t xml:space="preserve"> </w:t>
      </w:r>
      <w:r>
        <w:t xml:space="preserve">for the Conservation of Old-Growth Stands.”</w:t>
      </w:r>
      <w:r>
        <w:t xml:space="preserve"> </w:t>
      </w:r>
      <w:r>
        <w:rPr>
          <w:iCs/>
          <w:i/>
        </w:rPr>
        <w:t xml:space="preserve">Forest Ecology and Management</w:t>
      </w:r>
      <w:r>
        <w:t xml:space="preserve"> </w:t>
      </w:r>
      <w:r>
        <w:t xml:space="preserve">258 (7): 1038–54.</w:t>
      </w:r>
      <w:r>
        <w:t xml:space="preserve"> </w:t>
      </w:r>
      <w:hyperlink r:id="rId101">
        <w:r>
          <w:rPr>
            <w:rStyle w:val="Hyperlink"/>
          </w:rPr>
          <w:t xml:space="preserve">https://doi.org/10.1016/j.foreco.2009.07.008</w:t>
        </w:r>
      </w:hyperlink>
      <w:r>
        <w:t xml:space="preserve">.</w:t>
      </w:r>
    </w:p>
    <w:bookmarkEnd w:id="102"/>
    <w:bookmarkStart w:id="104" w:name="ref-martinsonFuelTreatmentsFire2013"/>
    <w:p>
      <w:pPr>
        <w:pStyle w:val="Bibliography"/>
      </w:pPr>
      <w:r>
        <w:t xml:space="preserve">Martinson, Erik J., and Philip N. Omi. 2013.</w:t>
      </w:r>
      <w:r>
        <w:t xml:space="preserve"> </w:t>
      </w:r>
      <w:r>
        <w:t xml:space="preserve">“Fuel Treatments and Fire Severity: A Meta-Analysis.”</w:t>
      </w:r>
      <w:r>
        <w:t xml:space="preserve"> </w:t>
      </w:r>
      <w:r>
        <w:t xml:space="preserve">RMRS-RP-103. Ft. Collins, CO: U.S. Department of Agriculture, Forest Service, Rocky Mountain Research Station.</w:t>
      </w:r>
      <w:r>
        <w:t xml:space="preserve"> </w:t>
      </w:r>
      <w:hyperlink r:id="rId103">
        <w:r>
          <w:rPr>
            <w:rStyle w:val="Hyperlink"/>
          </w:rPr>
          <w:t xml:space="preserve">https://doi.org/10.2737/RMRS-RP-103</w:t>
        </w:r>
      </w:hyperlink>
      <w:r>
        <w:t xml:space="preserve">.</w:t>
      </w:r>
    </w:p>
    <w:bookmarkEnd w:id="104"/>
    <w:bookmarkStart w:id="106" w:name="X96a96f4e010b3b5f3375bf838eaf704912becc6"/>
    <w:p>
      <w:pPr>
        <w:pStyle w:val="Bibliography"/>
      </w:pPr>
      <w:r>
        <w:t xml:space="preserve">Mitchell, S J, and W J Beese. 2002.</w:t>
      </w:r>
      <w:r>
        <w:t xml:space="preserve"> </w:t>
      </w:r>
      <w:r>
        <w:t xml:space="preserve">“The Retention System: Reconciling Variable Retention with the Principles of Silvicultural Systems.”</w:t>
      </w:r>
      <w:r>
        <w:t xml:space="preserve"> </w:t>
      </w:r>
      <w:r>
        <w:rPr>
          <w:iCs/>
          <w:i/>
        </w:rPr>
        <w:t xml:space="preserve">The Forestry Chronicle</w:t>
      </w:r>
      <w:r>
        <w:t xml:space="preserve"> </w:t>
      </w:r>
      <w:r>
        <w:t xml:space="preserve">78 (3): 397–403.</w:t>
      </w:r>
      <w:r>
        <w:t xml:space="preserve"> </w:t>
      </w:r>
      <w:hyperlink r:id="rId105">
        <w:r>
          <w:rPr>
            <w:rStyle w:val="Hyperlink"/>
          </w:rPr>
          <w:t xml:space="preserve">https://doi.org/10.5558/tfc78397-3</w:t>
        </w:r>
      </w:hyperlink>
      <w:r>
        <w:t xml:space="preserve">.</w:t>
      </w:r>
    </w:p>
    <w:bookmarkEnd w:id="106"/>
    <w:bookmarkStart w:id="108" w:name="ref-mumaDynamicsStumpSprout2022"/>
    <w:p>
      <w:pPr>
        <w:pStyle w:val="Bibliography"/>
      </w:pPr>
      <w:r>
        <w:t xml:space="preserve">Muma, Robert, Lynn A. Webb, Harold S. J. Zald, Kevin Boston, Christa M. Dagley, and John-Pascal Berrill. 2022.</w:t>
      </w:r>
      <w:r>
        <w:t xml:space="preserve"> </w:t>
      </w:r>
      <w:r>
        <w:t xml:space="preserve">“Dynamics of Stump Sprout Regeneration After Transformation to Multiaged Management in Coast Redwood Forests.”</w:t>
      </w:r>
      <w:r>
        <w:t xml:space="preserve"> </w:t>
      </w:r>
      <w:r>
        <w:rPr>
          <w:iCs/>
          <w:i/>
        </w:rPr>
        <w:t xml:space="preserve">Forest Ecology and Management</w:t>
      </w:r>
      <w:r>
        <w:t xml:space="preserve"> </w:t>
      </w:r>
      <w:r>
        <w:t xml:space="preserve">515 (July): 120236.</w:t>
      </w:r>
      <w:r>
        <w:t xml:space="preserve"> </w:t>
      </w:r>
      <w:hyperlink r:id="rId107">
        <w:r>
          <w:rPr>
            <w:rStyle w:val="Hyperlink"/>
          </w:rPr>
          <w:t xml:space="preserve">https://doi.org/10.1016/j.foreco.2022.120236</w:t>
        </w:r>
      </w:hyperlink>
      <w:r>
        <w:t xml:space="preserve">.</w:t>
      </w:r>
    </w:p>
    <w:bookmarkEnd w:id="108"/>
    <w:bookmarkStart w:id="110" w:name="ref-noletComparingEffectsEven2018"/>
    <w:p>
      <w:pPr>
        <w:pStyle w:val="Bibliography"/>
      </w:pPr>
      <w:r>
        <w:t xml:space="preserve">Nolet, Philippe, Daniel Kneeshaw, Christian Messier, and Martin Béland. 2018.</w:t>
      </w:r>
      <w:r>
        <w:t xml:space="preserve"> </w:t>
      </w:r>
      <w:r>
        <w:t xml:space="preserve">“Comparing the Effects of Even- and Uneven-Aged Silviculture on Ecological Diversity and Processes:</w:t>
      </w:r>
      <w:r>
        <w:t xml:space="preserve"> </w:t>
      </w:r>
      <w:r>
        <w:t xml:space="preserve">A</w:t>
      </w:r>
      <w:r>
        <w:t xml:space="preserve"> </w:t>
      </w:r>
      <w:r>
        <w:t xml:space="preserve">Review.”</w:t>
      </w:r>
      <w:r>
        <w:t xml:space="preserve"> </w:t>
      </w:r>
      <w:r>
        <w:rPr>
          <w:iCs/>
          <w:i/>
        </w:rPr>
        <w:t xml:space="preserve">Ecology and Evolution</w:t>
      </w:r>
      <w:r>
        <w:t xml:space="preserve"> </w:t>
      </w:r>
      <w:r>
        <w:t xml:space="preserve">8 (2): 1217–26.</w:t>
      </w:r>
      <w:r>
        <w:t xml:space="preserve"> </w:t>
      </w:r>
      <w:hyperlink r:id="rId109">
        <w:r>
          <w:rPr>
            <w:rStyle w:val="Hyperlink"/>
          </w:rPr>
          <w:t xml:space="preserve">https://doi.org/10.1002/ece3.3737</w:t>
        </w:r>
      </w:hyperlink>
      <w:r>
        <w:t xml:space="preserve">.</w:t>
      </w:r>
    </w:p>
    <w:bookmarkEnd w:id="110"/>
    <w:bookmarkStart w:id="112" w:name="X576afc95edcae7a1815c35912b88fe778db61f4"/>
    <w:p>
      <w:pPr>
        <w:pStyle w:val="Bibliography"/>
      </w:pPr>
      <w:r>
        <w:t xml:space="preserve">O’Hara, Kevin L. 1998.</w:t>
      </w:r>
      <w:r>
        <w:t xml:space="preserve"> </w:t>
      </w:r>
      <w:r>
        <w:t xml:space="preserve">“Silviculture for</w:t>
      </w:r>
      <w:r>
        <w:t xml:space="preserve"> </w:t>
      </w:r>
      <w:r>
        <w:t xml:space="preserve">Structural Diversity</w:t>
      </w:r>
      <w:r>
        <w:t xml:space="preserve">:</w:t>
      </w:r>
      <w:r>
        <w:t xml:space="preserve"> </w:t>
      </w:r>
      <w:r>
        <w:t xml:space="preserve">A New Look</w:t>
      </w:r>
      <w:r>
        <w:t xml:space="preserve"> </w:t>
      </w:r>
      <w:r>
        <w:t xml:space="preserve">at</w:t>
      </w:r>
      <w:r>
        <w:t xml:space="preserve"> </w:t>
      </w:r>
      <w:r>
        <w:t xml:space="preserve">Multiaged Systems</w:t>
      </w:r>
      <w:r>
        <w:t xml:space="preserve">.”</w:t>
      </w:r>
      <w:r>
        <w:t xml:space="preserve"> </w:t>
      </w:r>
      <w:r>
        <w:rPr>
          <w:iCs/>
          <w:i/>
        </w:rPr>
        <w:t xml:space="preserve">Journal of Forestry</w:t>
      </w:r>
      <w:r>
        <w:t xml:space="preserve"> </w:t>
      </w:r>
      <w:r>
        <w:t xml:space="preserve">96 (7): 4–10.</w:t>
      </w:r>
      <w:r>
        <w:t xml:space="preserve"> </w:t>
      </w:r>
      <w:hyperlink r:id="rId111">
        <w:r>
          <w:rPr>
            <w:rStyle w:val="Hyperlink"/>
          </w:rPr>
          <w:t xml:space="preserve">https://doi.org/10.1093/jof/96.7.4a</w:t>
        </w:r>
      </w:hyperlink>
      <w:r>
        <w:t xml:space="preserve">.</w:t>
      </w:r>
    </w:p>
    <w:bookmarkEnd w:id="112"/>
    <w:bookmarkStart w:id="114" w:name="Xecd8d6790cdaed58893d78d9f600c5959d02090"/>
    <w:p>
      <w:pPr>
        <w:pStyle w:val="Bibliography"/>
      </w:pPr>
      <w:r>
        <w:t xml:space="preserve">———. 2001.</w:t>
      </w:r>
      <w:r>
        <w:t xml:space="preserve"> </w:t>
      </w:r>
      <w:r>
        <w:t xml:space="preserve">“The Silviculture of Transformation — a Commentary.”</w:t>
      </w:r>
      <w:r>
        <w:t xml:space="preserve"> </w:t>
      </w:r>
      <w:r>
        <w:rPr>
          <w:iCs/>
          <w:i/>
        </w:rPr>
        <w:t xml:space="preserve">Forest Ecology and Management</w:t>
      </w:r>
      <w:r>
        <w:t xml:space="preserve">, Transformation of</w:t>
      </w:r>
      <w:r>
        <w:t xml:space="preserve"> </w:t>
      </w:r>
      <w:r>
        <w:t xml:space="preserve">Plantation Forests</w:t>
      </w:r>
      <w:r>
        <w:t xml:space="preserve">, 151 (1): 81–86.</w:t>
      </w:r>
      <w:r>
        <w:t xml:space="preserve"> </w:t>
      </w:r>
      <w:hyperlink r:id="rId113">
        <w:r>
          <w:rPr>
            <w:rStyle w:val="Hyperlink"/>
          </w:rPr>
          <w:t xml:space="preserve">https://doi.org/10.1016/S0378-1127(00)00698-8</w:t>
        </w:r>
      </w:hyperlink>
      <w:r>
        <w:t xml:space="preserve">.</w:t>
      </w:r>
    </w:p>
    <w:bookmarkEnd w:id="114"/>
    <w:bookmarkStart w:id="116" w:name="ref-oharaHistoricalDevelopmentUneven2002"/>
    <w:p>
      <w:pPr>
        <w:pStyle w:val="Bibliography"/>
      </w:pPr>
      <w:r>
        <w:t xml:space="preserve">———. 2002.</w:t>
      </w:r>
      <w:r>
        <w:t xml:space="preserve"> </w:t>
      </w:r>
      <w:r>
        <w:t xml:space="preserve">“The Historical Development of Uneven‐aged Silviculture in</w:t>
      </w:r>
      <w:r>
        <w:t xml:space="preserve"> </w:t>
      </w:r>
      <w:r>
        <w:t xml:space="preserve">North America</w:t>
      </w:r>
      <w:r>
        <w:t xml:space="preserve">.”</w:t>
      </w:r>
      <w:r>
        <w:t xml:space="preserve"> </w:t>
      </w:r>
      <w:r>
        <w:rPr>
          <w:iCs/>
          <w:i/>
        </w:rPr>
        <w:t xml:space="preserve">Forestry: An International Journal of Forest Research</w:t>
      </w:r>
      <w:r>
        <w:t xml:space="preserve"> </w:t>
      </w:r>
      <w:r>
        <w:t xml:space="preserve">75 (4): 339–46.</w:t>
      </w:r>
      <w:r>
        <w:t xml:space="preserve"> </w:t>
      </w:r>
      <w:hyperlink r:id="rId115">
        <w:r>
          <w:rPr>
            <w:rStyle w:val="Hyperlink"/>
          </w:rPr>
          <w:t xml:space="preserve">https://doi.org/10.1093/forestry/75.4.339</w:t>
        </w:r>
      </w:hyperlink>
      <w:r>
        <w:t xml:space="preserve">.</w:t>
      </w:r>
    </w:p>
    <w:bookmarkEnd w:id="116"/>
    <w:bookmarkStart w:id="118" w:name="ref-oharaUnderstoryStumpSprout2007"/>
    <w:p>
      <w:pPr>
        <w:pStyle w:val="Bibliography"/>
      </w:pPr>
      <w:r>
        <w:t xml:space="preserve">O’Hara, Kevin L., Petru Tudor Stancioiu, and Mark A. Spencer. 2007.</w:t>
      </w:r>
      <w:r>
        <w:t xml:space="preserve"> </w:t>
      </w:r>
      <w:r>
        <w:t xml:space="preserve">“Understory Stump Sprout Development Under Variable Canopy Density and Leaf Area in Coast Redwood.”</w:t>
      </w:r>
      <w:r>
        <w:t xml:space="preserve"> </w:t>
      </w:r>
      <w:r>
        <w:rPr>
          <w:iCs/>
          <w:i/>
        </w:rPr>
        <w:t xml:space="preserve">Forest Ecology and Management</w:t>
      </w:r>
      <w:r>
        <w:t xml:space="preserve"> </w:t>
      </w:r>
      <w:r>
        <w:t xml:space="preserve">244 (1): 76–85.</w:t>
      </w:r>
      <w:r>
        <w:t xml:space="preserve"> </w:t>
      </w:r>
      <w:hyperlink r:id="rId117">
        <w:r>
          <w:rPr>
            <w:rStyle w:val="Hyperlink"/>
          </w:rPr>
          <w:t xml:space="preserve">https://doi.org/10.1016/j.foreco.2007.03.062</w:t>
        </w:r>
      </w:hyperlink>
      <w:r>
        <w:t xml:space="preserve">.</w:t>
      </w:r>
    </w:p>
    <w:bookmarkEnd w:id="118"/>
    <w:bookmarkStart w:id="120" w:name="ref-oharaRegenerationDynamicsCoast2017"/>
    <w:p>
      <w:pPr>
        <w:pStyle w:val="Bibliography"/>
      </w:pPr>
      <w:r>
        <w:t xml:space="preserve">O’Hara, Kevin, Lauren Cox, Sasha Nikolaeva, Julian Bauer, and Rachelle Hedges. 2017.</w:t>
      </w:r>
      <w:r>
        <w:t xml:space="preserve"> </w:t>
      </w:r>
      <w:r>
        <w:t xml:space="preserve">“Regeneration Dynamics of Coast Redwood, a Sprouting Conifer Species: A Review with Implications for Management and Restoration.”</w:t>
      </w:r>
      <w:r>
        <w:t xml:space="preserve"> </w:t>
      </w:r>
      <w:r>
        <w:rPr>
          <w:iCs/>
          <w:i/>
        </w:rPr>
        <w:t xml:space="preserve">Forests</w:t>
      </w:r>
      <w:r>
        <w:t xml:space="preserve"> </w:t>
      </w:r>
      <w:r>
        <w:t xml:space="preserve">8 (5): 144.</w:t>
      </w:r>
      <w:r>
        <w:t xml:space="preserve"> </w:t>
      </w:r>
      <w:hyperlink r:id="rId119">
        <w:r>
          <w:rPr>
            <w:rStyle w:val="Hyperlink"/>
          </w:rPr>
          <w:t xml:space="preserve">https://doi.org/10.3390/f8050144</w:t>
        </w:r>
      </w:hyperlink>
      <w:r>
        <w:t xml:space="preserve">.</w:t>
      </w:r>
    </w:p>
    <w:bookmarkEnd w:id="120"/>
    <w:bookmarkStart w:id="122" w:name="ref-odlandPlantCommunityResponse2021"/>
    <w:p>
      <w:pPr>
        <w:pStyle w:val="Bibliography"/>
      </w:pPr>
      <w:r>
        <w:t xml:space="preserve">Odland, M. C., M. J. Goodwin, B. V. Smithers, M. D. Hurteau, and M. P. North. 2021.</w:t>
      </w:r>
      <w:r>
        <w:t xml:space="preserve"> </w:t>
      </w:r>
      <w:r>
        <w:t xml:space="preserve">“Plant Community Response to Thinning and Repeated Fire in</w:t>
      </w:r>
      <w:r>
        <w:t xml:space="preserve"> </w:t>
      </w:r>
      <w:r>
        <w:t xml:space="preserve">Sierra Nevada</w:t>
      </w:r>
      <w:r>
        <w:t xml:space="preserve"> </w:t>
      </w:r>
      <w:r>
        <w:t xml:space="preserve">Mixed-Conifer Forest Understories.”</w:t>
      </w:r>
      <w:r>
        <w:t xml:space="preserve"> </w:t>
      </w:r>
      <w:r>
        <w:rPr>
          <w:iCs/>
          <w:i/>
        </w:rPr>
        <w:t xml:space="preserve">Forest Ecology and Management</w:t>
      </w:r>
      <w:r>
        <w:t xml:space="preserve"> </w:t>
      </w:r>
      <w:r>
        <w:t xml:space="preserve">495 (September): 119361.</w:t>
      </w:r>
      <w:r>
        <w:t xml:space="preserve"> </w:t>
      </w:r>
      <w:hyperlink r:id="rId121">
        <w:r>
          <w:rPr>
            <w:rStyle w:val="Hyperlink"/>
          </w:rPr>
          <w:t xml:space="preserve">https://doi.org/10.1016/j.foreco.2021.119361</w:t>
        </w:r>
      </w:hyperlink>
      <w:r>
        <w:t xml:space="preserve">.</w:t>
      </w:r>
    </w:p>
    <w:bookmarkEnd w:id="122"/>
    <w:bookmarkStart w:id="124" w:name="ref-parksWarmerDrierFire2020"/>
    <w:p>
      <w:pPr>
        <w:pStyle w:val="Bibliography"/>
      </w:pPr>
      <w:r>
        <w:t xml:space="preserve">Parks, S. A., and J. T. Abatzoglou. 2020.</w:t>
      </w:r>
      <w:r>
        <w:t xml:space="preserve"> </w:t>
      </w:r>
      <w:r>
        <w:t xml:space="preserve">“Warmer and Drier Fire Seasons Contribute to Increases in Area Burned at High Severity in Western</w:t>
      </w:r>
      <w:r>
        <w:t xml:space="preserve"> </w:t>
      </w:r>
      <w:r>
        <w:t xml:space="preserve">US</w:t>
      </w:r>
      <w:r>
        <w:t xml:space="preserve"> </w:t>
      </w:r>
      <w:r>
        <w:t xml:space="preserve">Forests from 1985 to 2017.”</w:t>
      </w:r>
      <w:r>
        <w:t xml:space="preserve"> </w:t>
      </w:r>
      <w:r>
        <w:rPr>
          <w:iCs/>
          <w:i/>
        </w:rPr>
        <w:t xml:space="preserve">Geophysical Research Letters</w:t>
      </w:r>
      <w:r>
        <w:t xml:space="preserve"> </w:t>
      </w:r>
      <w:r>
        <w:t xml:space="preserve">47 (22).</w:t>
      </w:r>
      <w:r>
        <w:t xml:space="preserve"> </w:t>
      </w:r>
      <w:hyperlink r:id="rId123">
        <w:r>
          <w:rPr>
            <w:rStyle w:val="Hyperlink"/>
          </w:rPr>
          <w:t xml:space="preserve">https://doi.org/10.1029/2020GL089858</w:t>
        </w:r>
      </w:hyperlink>
      <w:r>
        <w:t xml:space="preserve">.</w:t>
      </w:r>
    </w:p>
    <w:bookmarkEnd w:id="124"/>
    <w:bookmarkStart w:id="126" w:name="ref-saffordNaturalRangeVariation2017"/>
    <w:p>
      <w:pPr>
        <w:pStyle w:val="Bibliography"/>
      </w:pPr>
      <w:r>
        <w:t xml:space="preserve">Safford, Hugh D., and Jens T. Stevens. 2017.</w:t>
      </w:r>
      <w:r>
        <w:t xml:space="preserve"> </w:t>
      </w:r>
      <w:r>
        <w:t xml:space="preserve">“Natural Range of Variation for Yellow Pine and Mixed-Conifer Forests in the</w:t>
      </w:r>
      <w:r>
        <w:t xml:space="preserve"> </w:t>
      </w:r>
      <w:r>
        <w:t xml:space="preserve">Sierra Nevada</w:t>
      </w:r>
      <w:r>
        <w:t xml:space="preserve">, Southern</w:t>
      </w:r>
      <w:r>
        <w:t xml:space="preserve"> </w:t>
      </w:r>
      <w:r>
        <w:t xml:space="preserve">Cascades</w:t>
      </w:r>
      <w:r>
        <w:t xml:space="preserve">, and</w:t>
      </w:r>
      <w:r>
        <w:t xml:space="preserve"> </w:t>
      </w:r>
      <w:r>
        <w:t xml:space="preserve">Modoc</w:t>
      </w:r>
      <w:r>
        <w:t xml:space="preserve"> </w:t>
      </w:r>
      <w:r>
        <w:t xml:space="preserve">and</w:t>
      </w:r>
      <w:r>
        <w:t xml:space="preserve"> </w:t>
      </w:r>
      <w:r>
        <w:t xml:space="preserve">Inyo National Forests</w:t>
      </w:r>
      <w:r>
        <w:t xml:space="preserve">,</w:t>
      </w:r>
      <w:r>
        <w:t xml:space="preserve"> </w:t>
      </w:r>
      <w:r>
        <w:t xml:space="preserve">California</w:t>
      </w:r>
      <w:r>
        <w:t xml:space="preserve">,</w:t>
      </w:r>
      <w:r>
        <w:t xml:space="preserve"> </w:t>
      </w:r>
      <w:r>
        <w:t xml:space="preserve">USA</w:t>
      </w:r>
      <w:r>
        <w:t xml:space="preserve">.”</w:t>
      </w:r>
      <w:r>
        <w:t xml:space="preserve"> </w:t>
      </w:r>
      <w:r>
        <w:t xml:space="preserve">PSW-GTR-256. Albany, CA: U.S. Department of Agriculture, Forest Service, Pacific Southwest Research Station.</w:t>
      </w:r>
      <w:r>
        <w:t xml:space="preserve"> </w:t>
      </w:r>
      <w:hyperlink r:id="rId125">
        <w:r>
          <w:rPr>
            <w:rStyle w:val="Hyperlink"/>
          </w:rPr>
          <w:t xml:space="preserve">https://doi.org/10.2737/PSW-GTR-256</w:t>
        </w:r>
      </w:hyperlink>
      <w:r>
        <w:t xml:space="preserve">.</w:t>
      </w:r>
    </w:p>
    <w:bookmarkEnd w:id="126"/>
    <w:bookmarkStart w:id="127" w:name="X967046730ee9c75b5734d4dc777df7f364d8685"/>
    <w:p>
      <w:pPr>
        <w:pStyle w:val="Bibliography"/>
      </w:pPr>
      <w:r>
        <w:t xml:space="preserve">Schütz, Jean-Philippe. 1999.</w:t>
      </w:r>
      <w:r>
        <w:t xml:space="preserve"> </w:t>
      </w:r>
      <w:r>
        <w:t xml:space="preserve">“Close-to-Nature Silviculture: Is This Concept Compatible with Species Diversity?”</w:t>
      </w:r>
      <w:r>
        <w:t xml:space="preserve"> </w:t>
      </w:r>
      <w:r>
        <w:rPr>
          <w:iCs/>
          <w:i/>
        </w:rPr>
        <w:t xml:space="preserve">Forestry</w:t>
      </w:r>
      <w:r>
        <w:t xml:space="preserve"> </w:t>
      </w:r>
      <w:r>
        <w:t xml:space="preserve">72 (4): 359–66.</w:t>
      </w:r>
    </w:p>
    <w:bookmarkEnd w:id="127"/>
    <w:bookmarkStart w:id="129" w:name="ref-schutzSilviculturalToolsDevelop2002"/>
    <w:p>
      <w:pPr>
        <w:pStyle w:val="Bibliography"/>
      </w:pPr>
      <w:r>
        <w:t xml:space="preserve">———. 2002.</w:t>
      </w:r>
      <w:r>
        <w:t xml:space="preserve"> </w:t>
      </w:r>
      <w:r>
        <w:t xml:space="preserve">“Silvicultural Tools to Develop Irregular and Diverse Forest Structures.”</w:t>
      </w:r>
      <w:r>
        <w:t xml:space="preserve"> </w:t>
      </w:r>
      <w:r>
        <w:rPr>
          <w:iCs/>
          <w:i/>
        </w:rPr>
        <w:t xml:space="preserve">Forestry: An International Journal of Forest Research</w:t>
      </w:r>
      <w:r>
        <w:t xml:space="preserve"> </w:t>
      </w:r>
      <w:r>
        <w:t xml:space="preserve">75 (4): 329–37.</w:t>
      </w:r>
      <w:r>
        <w:t xml:space="preserve"> </w:t>
      </w:r>
      <w:hyperlink r:id="rId128">
        <w:r>
          <w:rPr>
            <w:rStyle w:val="Hyperlink"/>
          </w:rPr>
          <w:t xml:space="preserve">https://doi.org/10.1093/forestry/75.4.329</w:t>
        </w:r>
      </w:hyperlink>
      <w:r>
        <w:t xml:space="preserve">.</w:t>
      </w:r>
    </w:p>
    <w:bookmarkEnd w:id="129"/>
    <w:bookmarkStart w:id="130" w:name="ref-schwilkNationalFireFire2009"/>
    <w:p>
      <w:pPr>
        <w:pStyle w:val="Bibliography"/>
      </w:pPr>
      <w:r>
        <w:t xml:space="preserve">Schwilk, Dylan W., Jon E. Keeley, Eric E. Knapp, James McIver, John D. Bailey, Christopher J. Fettig, Carl E. Fiedler, Richy J. Harrod, Jason J. Moghaddas, and Kenneth W. Outcalt. 2009.</w:t>
      </w:r>
      <w:r>
        <w:t xml:space="preserve"> </w:t>
      </w:r>
      <w:r>
        <w:t xml:space="preserve">“The National</w:t>
      </w:r>
      <w:r>
        <w:t xml:space="preserve"> </w:t>
      </w:r>
      <w:r>
        <w:t xml:space="preserve">Fire</w:t>
      </w:r>
      <w:r>
        <w:t xml:space="preserve"> </w:t>
      </w:r>
      <w:r>
        <w:t xml:space="preserve">and</w:t>
      </w:r>
      <w:r>
        <w:t xml:space="preserve"> </w:t>
      </w:r>
      <w:r>
        <w:t xml:space="preserve">Fire Surrogate</w:t>
      </w:r>
      <w:r>
        <w:t xml:space="preserve"> </w:t>
      </w:r>
      <w:r>
        <w:t xml:space="preserve">Study: Effects of Fuel Reduction Methods on Forest Vegetation Structure and Fuels.”</w:t>
      </w:r>
      <w:r>
        <w:t xml:space="preserve"> </w:t>
      </w:r>
      <w:r>
        <w:rPr>
          <w:iCs/>
          <w:i/>
        </w:rPr>
        <w:t xml:space="preserve">Ecological Applications</w:t>
      </w:r>
      <w:r>
        <w:t xml:space="preserve"> </w:t>
      </w:r>
      <w:r>
        <w:t xml:space="preserve">19 (2): 285–304.</w:t>
      </w:r>
    </w:p>
    <w:bookmarkEnd w:id="130"/>
    <w:bookmarkStart w:id="132" w:name="ref-stephensFuelTreatmentLongevity2012"/>
    <w:p>
      <w:pPr>
        <w:pStyle w:val="Bibliography"/>
      </w:pPr>
      <w:r>
        <w:t xml:space="preserve">Stephens, Scott L., Brandon M. Collins, and Gary Roller. 2012.</w:t>
      </w:r>
      <w:r>
        <w:t xml:space="preserve"> </w:t>
      </w:r>
      <w:r>
        <w:t xml:space="preserve">“Fuel Treatment Longevity in a</w:t>
      </w:r>
      <w:r>
        <w:t xml:space="preserve"> </w:t>
      </w:r>
      <w:r>
        <w:t xml:space="preserve">Sierra Nevada</w:t>
      </w:r>
      <w:r>
        <w:t xml:space="preserve"> </w:t>
      </w:r>
      <w:r>
        <w:t xml:space="preserve">Mixed Conifer Forest.”</w:t>
      </w:r>
      <w:r>
        <w:t xml:space="preserve"> </w:t>
      </w:r>
      <w:r>
        <w:rPr>
          <w:iCs/>
          <w:i/>
        </w:rPr>
        <w:t xml:space="preserve">Forest Ecology and Management</w:t>
      </w:r>
      <w:r>
        <w:t xml:space="preserve"> </w:t>
      </w:r>
      <w:r>
        <w:t xml:space="preserve">285 (December): 204–12.</w:t>
      </w:r>
      <w:r>
        <w:t xml:space="preserve"> </w:t>
      </w:r>
      <w:hyperlink r:id="rId131">
        <w:r>
          <w:rPr>
            <w:rStyle w:val="Hyperlink"/>
          </w:rPr>
          <w:t xml:space="preserve">https://doi.org/10.1016/j.foreco.2012.08.030</w:t>
        </w:r>
      </w:hyperlink>
      <w:r>
        <w:t xml:space="preserve">.</w:t>
      </w:r>
    </w:p>
    <w:bookmarkEnd w:id="132"/>
    <w:bookmarkStart w:id="134" w:name="ref-stephensFireTreatmentEffects2009"/>
    <w:p>
      <w:pPr>
        <w:pStyle w:val="Bibliography"/>
      </w:pPr>
      <w:r>
        <w:t xml:space="preserve">Stephens, Scott L., Jason J. Moghaddas, Carl Edminster, Carl E. Fiedler, Sally Haase, Michael Harrington, Jon E. Keeley, Eric E. Knapp, James D. McIver, and Kerry Metlen. 2009.</w:t>
      </w:r>
      <w:r>
        <w:t xml:space="preserve"> </w:t>
      </w:r>
      <w:r>
        <w:t xml:space="preserve">“Fire Treatment Effects on Vegetation Structure, Fuels, and Potential Fire Severity in Western</w:t>
      </w:r>
      <w:r>
        <w:t xml:space="preserve"> </w:t>
      </w:r>
      <w:r>
        <w:t xml:space="preserve">US</w:t>
      </w:r>
      <w:r>
        <w:t xml:space="preserve"> </w:t>
      </w:r>
      <w:r>
        <w:t xml:space="preserve">Forests.”</w:t>
      </w:r>
      <w:r>
        <w:t xml:space="preserve"> </w:t>
      </w:r>
      <w:r>
        <w:rPr>
          <w:iCs/>
          <w:i/>
        </w:rPr>
        <w:t xml:space="preserve">Ecological Applications</w:t>
      </w:r>
      <w:r>
        <w:t xml:space="preserve"> </w:t>
      </w:r>
      <w:r>
        <w:t xml:space="preserve">19 (2): 305–20.</w:t>
      </w:r>
      <w:r>
        <w:t xml:space="preserve"> </w:t>
      </w:r>
      <w:hyperlink r:id="rId133">
        <w:r>
          <w:rPr>
            <w:rStyle w:val="Hyperlink"/>
          </w:rPr>
          <w:t xml:space="preserve">https://esajournals.onlinelibrary.wiley.com/doi/full/10.1890/07-1755.1</w:t>
        </w:r>
      </w:hyperlink>
      <w:r>
        <w:t xml:space="preserve">.</w:t>
      </w:r>
    </w:p>
    <w:bookmarkEnd w:id="134"/>
    <w:bookmarkStart w:id="135" w:name="ref-stuartRedwoodFireEcology1985"/>
    <w:p>
      <w:pPr>
        <w:pStyle w:val="Bibliography"/>
      </w:pPr>
      <w:r>
        <w:t xml:space="preserve">Stuart, John. 1985.</w:t>
      </w:r>
      <w:r>
        <w:t xml:space="preserve"> </w:t>
      </w:r>
      <w:r>
        <w:t xml:space="preserve">“Redwood Fire Ecology: Final Report Submitted to</w:t>
      </w:r>
      <w:r>
        <w:t xml:space="preserve"> </w:t>
      </w:r>
      <w:r>
        <w:t xml:space="preserve">California Department</w:t>
      </w:r>
      <w:r>
        <w:t xml:space="preserve"> </w:t>
      </w:r>
      <w:r>
        <w:t xml:space="preserve">of</w:t>
      </w:r>
      <w:r>
        <w:t xml:space="preserve"> </w:t>
      </w:r>
      <w:r>
        <w:t xml:space="preserve">Parks</w:t>
      </w:r>
      <w:r>
        <w:t xml:space="preserve"> </w:t>
      </w:r>
      <w:r>
        <w:t xml:space="preserve">and</w:t>
      </w:r>
      <w:r>
        <w:t xml:space="preserve"> </w:t>
      </w:r>
      <w:r>
        <w:t xml:space="preserve">Recreation</w:t>
      </w:r>
      <w:r>
        <w:t xml:space="preserve">.”</w:t>
      </w:r>
      <w:r>
        <w:t xml:space="preserve"> </w:t>
      </w:r>
      <w:r>
        <w:t xml:space="preserve">Forestry Department, Humboldt State University.</w:t>
      </w:r>
    </w:p>
    <w:bookmarkEnd w:id="135"/>
    <w:bookmarkStart w:id="137" w:name="ref-vanpeltEmergentCrownsLightuse2016"/>
    <w:p>
      <w:pPr>
        <w:pStyle w:val="Bibliography"/>
      </w:pPr>
      <w:r>
        <w:t xml:space="preserve">Van Pelt, Robert, Stephen C. Sillett, William A. Kruse, James A. Freund, and Russell D. Kramer. 2016.</w:t>
      </w:r>
      <w:r>
        <w:t xml:space="preserve"> </w:t>
      </w:r>
      <w:r>
        <w:t xml:space="preserve">“Emergent Crowns and Light-Use Complementarity Lead to Global Maximum Biomass and Leaf Area in</w:t>
      </w:r>
      <w:r>
        <w:t xml:space="preserve"> </w:t>
      </w:r>
      <w:r>
        <w:t xml:space="preserve">Sequoia</w:t>
      </w:r>
      <w:r>
        <w:t xml:space="preserve"> </w:t>
      </w:r>
      <w:r>
        <w:t xml:space="preserve">Sempervirens Forests.”</w:t>
      </w:r>
      <w:r>
        <w:t xml:space="preserve"> </w:t>
      </w:r>
      <w:r>
        <w:rPr>
          <w:iCs/>
          <w:i/>
        </w:rPr>
        <w:t xml:space="preserve">Forest Ecology and Management</w:t>
      </w:r>
      <w:r>
        <w:t xml:space="preserve"> </w:t>
      </w:r>
      <w:r>
        <w:t xml:space="preserve">375 (September): 279–308.</w:t>
      </w:r>
      <w:r>
        <w:t xml:space="preserve"> </w:t>
      </w:r>
      <w:hyperlink r:id="rId136">
        <w:r>
          <w:rPr>
            <w:rStyle w:val="Hyperlink"/>
          </w:rPr>
          <w:t xml:space="preserve">https://doi.org/10.1016/j.foreco.2016.05.018</w:t>
        </w:r>
      </w:hyperlink>
      <w:r>
        <w:t xml:space="preserve">.</w:t>
      </w:r>
    </w:p>
    <w:bookmarkEnd w:id="137"/>
    <w:bookmarkStart w:id="138" w:name="ref-varnerEnigmaticFireRegime2017"/>
    <w:p>
      <w:pPr>
        <w:pStyle w:val="Bibliography"/>
      </w:pPr>
      <w:r>
        <w:t xml:space="preserve">Varner, J. Morgan, and Erik S. Jules. 2017.</w:t>
      </w:r>
      <w:r>
        <w:t xml:space="preserve"> </w:t>
      </w:r>
      <w:r>
        <w:t xml:space="preserve">“The Enigmatic Fire Regime of Coast Redwood Forests and Why It Matters.”</w:t>
      </w:r>
      <w:r>
        <w:t xml:space="preserve"> </w:t>
      </w:r>
      <w:r>
        <w:rPr>
          <w:iCs/>
          <w:i/>
        </w:rPr>
        <w:t xml:space="preserve">Gen. Tech. Rep. PSW-GTR-258. Albany, CA: US Department of Agriculture, Forest Service, Pacific Southwest Research Station: 15-18</w:t>
      </w:r>
      <w:r>
        <w:t xml:space="preserve"> </w:t>
      </w:r>
      <w:r>
        <w:t xml:space="preserve">258: 15–18.</w:t>
      </w:r>
    </w:p>
    <w:bookmarkEnd w:id="138"/>
    <w:bookmarkStart w:id="140" w:name="Xe4c33cd27862f1a273f5ee92394e7273e555926"/>
    <w:p>
      <w:pPr>
        <w:pStyle w:val="Bibliography"/>
      </w:pPr>
      <w:r>
        <w:t xml:space="preserve">Vilà-Vilardell, Lena, Miquel De Cáceres, Míriam Piqué, and Pere Casals. 2023.</w:t>
      </w:r>
      <w:r>
        <w:t xml:space="preserve"> </w:t>
      </w:r>
      <w:r>
        <w:t xml:space="preserve">“Prescribed Fire After Thinning Increased Resistance of Sub-</w:t>
      </w:r>
      <w:r>
        <w:t xml:space="preserve">Mediterranean</w:t>
      </w:r>
      <w:r>
        <w:t xml:space="preserve"> </w:t>
      </w:r>
      <w:r>
        <w:t xml:space="preserve">Pine Forests to Drought Events and Wildfires.”</w:t>
      </w:r>
      <w:r>
        <w:t xml:space="preserve"> </w:t>
      </w:r>
      <w:r>
        <w:rPr>
          <w:iCs/>
          <w:i/>
        </w:rPr>
        <w:t xml:space="preserve">Forest Ecology and Management</w:t>
      </w:r>
      <w:r>
        <w:t xml:space="preserve"> </w:t>
      </w:r>
      <w:r>
        <w:t xml:space="preserve">527 (January): 120602.</w:t>
      </w:r>
      <w:r>
        <w:t xml:space="preserve"> </w:t>
      </w:r>
      <w:hyperlink r:id="rId139">
        <w:r>
          <w:rPr>
            <w:rStyle w:val="Hyperlink"/>
          </w:rPr>
          <w:t xml:space="preserve">https://doi.org/10.1016/j.foreco.2022.120602</w:t>
        </w:r>
      </w:hyperlink>
      <w:r>
        <w:t xml:space="preserve">.</w:t>
      </w:r>
    </w:p>
    <w:bookmarkEnd w:id="140"/>
    <w:bookmarkStart w:id="142" w:name="ref-webbWhiskeySpringsLongterm2012"/>
    <w:p>
      <w:pPr>
        <w:pStyle w:val="Bibliography"/>
      </w:pPr>
      <w:r>
        <w:t xml:space="preserve">Webb, Lynn A., James L. Lindquist, Erik Wahl, and Andrew Hubb. 2012.</w:t>
      </w:r>
      <w:r>
        <w:t xml:space="preserve"> </w:t>
      </w:r>
      <w:r>
        <w:t xml:space="preserve">“Whiskey Springs Long-Term Coast Redwood Density Management; Final Growth, Sprout, and Yield Results.”</w:t>
      </w:r>
      <w:r>
        <w:t xml:space="preserve"> </w:t>
      </w:r>
      <w:r>
        <w:t xml:space="preserve">In</w:t>
      </w:r>
      <w:r>
        <w:t xml:space="preserve"> </w:t>
      </w:r>
      <w:r>
        <w:rPr>
          <w:iCs/>
          <w:i/>
        </w:rPr>
        <w:t xml:space="preserve">Proceedings of Coast Redwood Forests in a Changing</w:t>
      </w:r>
      <w:r>
        <w:rPr>
          <w:iCs/>
          <w:i/>
        </w:rPr>
        <w:t xml:space="preserve"> </w:t>
      </w:r>
      <w:r>
        <w:rPr>
          <w:iCs/>
          <w:i/>
        </w:rPr>
        <w:t xml:space="preserve">California</w:t>
      </w:r>
      <w:r>
        <w:rPr>
          <w:iCs/>
          <w:i/>
        </w:rPr>
        <w:t xml:space="preserve">:</w:t>
      </w:r>
      <w:r>
        <w:rPr>
          <w:iCs/>
          <w:i/>
        </w:rPr>
        <w:t xml:space="preserve"> </w:t>
      </w:r>
      <w:r>
        <w:rPr>
          <w:iCs/>
          <w:i/>
        </w:rPr>
        <w:t xml:space="preserve">A</w:t>
      </w:r>
      <w:r>
        <w:rPr>
          <w:iCs/>
          <w:i/>
        </w:rPr>
        <w:t xml:space="preserve"> </w:t>
      </w:r>
      <w:r>
        <w:rPr>
          <w:iCs/>
          <w:i/>
        </w:rPr>
        <w:t xml:space="preserve">Symposium for Scientists and Managers.</w:t>
      </w:r>
      <w:r>
        <w:t xml:space="preserve">, 238:571–81. Albany, CA: Pacific Southwest Research Station, Forest Service, U.S. Department of Agriculture.</w:t>
      </w:r>
      <w:r>
        <w:t xml:space="preserve"> </w:t>
      </w:r>
      <w:hyperlink r:id="rId141">
        <w:r>
          <w:rPr>
            <w:rStyle w:val="Hyperlink"/>
          </w:rPr>
          <w:t xml:space="preserve">https://www.fs.usda.gov/research/treesearch/41828</w:t>
        </w:r>
      </w:hyperlink>
      <w:r>
        <w:t xml:space="preserve">.</w:t>
      </w:r>
    </w:p>
    <w:bookmarkEnd w:id="142"/>
    <w:bookmarkStart w:id="144" w:name="ref-westerlingIncreasingWesternUS2016"/>
    <w:p>
      <w:pPr>
        <w:pStyle w:val="Bibliography"/>
      </w:pPr>
      <w:r>
        <w:t xml:space="preserve">Westerling, Anthony LeRoy. 2016.</w:t>
      </w:r>
      <w:r>
        <w:t xml:space="preserve"> </w:t>
      </w:r>
      <w:r>
        <w:t xml:space="preserve">“Increasing Western</w:t>
      </w:r>
      <w:r>
        <w:t xml:space="preserve"> </w:t>
      </w:r>
      <w:r>
        <w:t xml:space="preserve">US</w:t>
      </w:r>
      <w:r>
        <w:t xml:space="preserve"> </w:t>
      </w:r>
      <w:r>
        <w:t xml:space="preserve">Forest Wildfire Activity: Sensitivity to Changes in the Timing of Spring.”</w:t>
      </w:r>
      <w:r>
        <w:t xml:space="preserve"> </w:t>
      </w:r>
      <w:r>
        <w:rPr>
          <w:iCs/>
          <w:i/>
        </w:rPr>
        <w:t xml:space="preserve">Philosophical Transactions of the Royal Society B: Biological Sciences</w:t>
      </w:r>
      <w:r>
        <w:t xml:space="preserve"> </w:t>
      </w:r>
      <w:r>
        <w:t xml:space="preserve">371 (1696): 20150178.</w:t>
      </w:r>
      <w:r>
        <w:t xml:space="preserve"> </w:t>
      </w:r>
      <w:hyperlink r:id="rId143">
        <w:r>
          <w:rPr>
            <w:rStyle w:val="Hyperlink"/>
          </w:rPr>
          <w:t xml:space="preserve">https://doi.org/10.1098/rstb.2015.0178</w:t>
        </w:r>
      </w:hyperlink>
      <w:r>
        <w:t xml:space="preserve">.</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hyperlink" Id="rId94" Target="https://academic.oup.com/jof/article-abstract/83/8/494/4647048" TargetMode="External" /><Relationship Type="http://schemas.openxmlformats.org/officeDocument/2006/relationships/hyperlink" Id="rId109" Target="https://doi.org/10.1002/ece3.3737" TargetMode="External" /><Relationship Type="http://schemas.openxmlformats.org/officeDocument/2006/relationships/hyperlink" Id="rId76" Target="https://doi.org/10.1007/s11056-018-9636-6" TargetMode="External" /><Relationship Type="http://schemas.openxmlformats.org/officeDocument/2006/relationships/hyperlink" Id="rId113" Target="https://doi.org/10.1016/S0378-1127(00)00698-8" TargetMode="External" /><Relationship Type="http://schemas.openxmlformats.org/officeDocument/2006/relationships/hyperlink" Id="rId117" Target="https://doi.org/10.1016/j.foreco.2007.03.062" TargetMode="External" /><Relationship Type="http://schemas.openxmlformats.org/officeDocument/2006/relationships/hyperlink" Id="rId101" Target="https://doi.org/10.1016/j.foreco.2009.07.008" TargetMode="External" /><Relationship Type="http://schemas.openxmlformats.org/officeDocument/2006/relationships/hyperlink" Id="rId131" Target="https://doi.org/10.1016/j.foreco.2012.08.030" TargetMode="External" /><Relationship Type="http://schemas.openxmlformats.org/officeDocument/2006/relationships/hyperlink" Id="rId136" Target="https://doi.org/10.1016/j.foreco.2016.05.018" TargetMode="External" /><Relationship Type="http://schemas.openxmlformats.org/officeDocument/2006/relationships/hyperlink" Id="rId121" Target="https://doi.org/10.1016/j.foreco.2021.119361" TargetMode="External" /><Relationship Type="http://schemas.openxmlformats.org/officeDocument/2006/relationships/hyperlink" Id="rId107" Target="https://doi.org/10.1016/j.foreco.2022.120236" TargetMode="External" /><Relationship Type="http://schemas.openxmlformats.org/officeDocument/2006/relationships/hyperlink" Id="rId79" Target="https://doi.org/10.1016/j.foreco.2022.120353" TargetMode="External" /><Relationship Type="http://schemas.openxmlformats.org/officeDocument/2006/relationships/hyperlink" Id="rId139" Target="https://doi.org/10.1016/j.foreco.2022.120602" TargetMode="External" /><Relationship Type="http://schemas.openxmlformats.org/officeDocument/2006/relationships/hyperlink" Id="rId123" Target="https://doi.org/10.1029/2020GL089858" TargetMode="External" /><Relationship Type="http://schemas.openxmlformats.org/officeDocument/2006/relationships/hyperlink" Id="rId128" Target="https://doi.org/10.1093/forestry/75.4.329" TargetMode="External" /><Relationship Type="http://schemas.openxmlformats.org/officeDocument/2006/relationships/hyperlink" Id="rId115" Target="https://doi.org/10.1093/forestry/75.4.339" TargetMode="External" /><Relationship Type="http://schemas.openxmlformats.org/officeDocument/2006/relationships/hyperlink" Id="rId99" Target="https://doi.org/10.1093/jof/38.9.729" TargetMode="External" /><Relationship Type="http://schemas.openxmlformats.org/officeDocument/2006/relationships/hyperlink" Id="rId111" Target="https://doi.org/10.1093/jof/96.7.4a" TargetMode="External" /><Relationship Type="http://schemas.openxmlformats.org/officeDocument/2006/relationships/hyperlink" Id="rId143" Target="https://doi.org/10.1098/rstb.2015.0178" TargetMode="External" /><Relationship Type="http://schemas.openxmlformats.org/officeDocument/2006/relationships/hyperlink" Id="rId74" Target="https://doi.org/10.1139/X06-271" TargetMode="External" /><Relationship Type="http://schemas.openxmlformats.org/officeDocument/2006/relationships/hyperlink" Id="rId96" Target="https://doi.org/10.1139/X08-003" TargetMode="External" /><Relationship Type="http://schemas.openxmlformats.org/officeDocument/2006/relationships/hyperlink" Id="rId81" Target="https://doi.org/10.1139/cjfr-2022-0214" TargetMode="External" /><Relationship Type="http://schemas.openxmlformats.org/officeDocument/2006/relationships/hyperlink" Id="rId84" Target="https://doi.org/10.1139/x93-143" TargetMode="External" /><Relationship Type="http://schemas.openxmlformats.org/officeDocument/2006/relationships/hyperlink" Id="rId72" Target="https://doi.org/10.1186/s13717-019-0181-9" TargetMode="External" /><Relationship Type="http://schemas.openxmlformats.org/officeDocument/2006/relationships/hyperlink" Id="rId125" Target="https://doi.org/10.2737/PSW-GTR-256" TargetMode="External" /><Relationship Type="http://schemas.openxmlformats.org/officeDocument/2006/relationships/hyperlink" Id="rId103" Target="https://doi.org/10.2737/RMRS-RP-103" TargetMode="External" /><Relationship Type="http://schemas.openxmlformats.org/officeDocument/2006/relationships/hyperlink" Id="rId119" Target="https://doi.org/10.3390/f8050144" TargetMode="External" /><Relationship Type="http://schemas.openxmlformats.org/officeDocument/2006/relationships/hyperlink" Id="rId105" Target="https://doi.org/10.5558/tfc78397-3" TargetMode="External" /><Relationship Type="http://schemas.openxmlformats.org/officeDocument/2006/relationships/hyperlink" Id="rId133" Target="https://esajournals.onlinelibrary.wiley.com/doi/full/10.1890/07-1755.1" TargetMode="External" /><Relationship Type="http://schemas.openxmlformats.org/officeDocument/2006/relationships/hyperlink" Id="rId87" Target="https://scholarworks.calstate.edu/concern/theses/ws859j014" TargetMode="External" /><Relationship Type="http://schemas.openxmlformats.org/officeDocument/2006/relationships/hyperlink" Id="rId90" Target="https://www.elibrary.ru/item.asp?id=7397149" TargetMode="External" /><Relationship Type="http://schemas.openxmlformats.org/officeDocument/2006/relationships/hyperlink" Id="rId92" Target="https://www.frontiersin.org/articles/10.3389/ffgc.2020.00078" TargetMode="External" /><Relationship Type="http://schemas.openxmlformats.org/officeDocument/2006/relationships/hyperlink" Id="rId141" Target="https://www.fs.usda.gov/research/treesearch/41828" TargetMode="External" /></Relationships>
</file>

<file path=word/_rels/footnotes.xml.rels><?xml version="1.0" encoding="UTF-8"?><Relationships xmlns="http://schemas.openxmlformats.org/package/2006/relationships"><Relationship Type="http://schemas.openxmlformats.org/officeDocument/2006/relationships/hyperlink" Id="rId94" Target="https://academic.oup.com/jof/article-abstract/83/8/494/4647048" TargetMode="External" /><Relationship Type="http://schemas.openxmlformats.org/officeDocument/2006/relationships/hyperlink" Id="rId109" Target="https://doi.org/10.1002/ece3.3737" TargetMode="External" /><Relationship Type="http://schemas.openxmlformats.org/officeDocument/2006/relationships/hyperlink" Id="rId76" Target="https://doi.org/10.1007/s11056-018-9636-6" TargetMode="External" /><Relationship Type="http://schemas.openxmlformats.org/officeDocument/2006/relationships/hyperlink" Id="rId113" Target="https://doi.org/10.1016/S0378-1127(00)00698-8" TargetMode="External" /><Relationship Type="http://schemas.openxmlformats.org/officeDocument/2006/relationships/hyperlink" Id="rId117" Target="https://doi.org/10.1016/j.foreco.2007.03.062" TargetMode="External" /><Relationship Type="http://schemas.openxmlformats.org/officeDocument/2006/relationships/hyperlink" Id="rId101" Target="https://doi.org/10.1016/j.foreco.2009.07.008" TargetMode="External" /><Relationship Type="http://schemas.openxmlformats.org/officeDocument/2006/relationships/hyperlink" Id="rId131" Target="https://doi.org/10.1016/j.foreco.2012.08.030" TargetMode="External" /><Relationship Type="http://schemas.openxmlformats.org/officeDocument/2006/relationships/hyperlink" Id="rId136" Target="https://doi.org/10.1016/j.foreco.2016.05.018" TargetMode="External" /><Relationship Type="http://schemas.openxmlformats.org/officeDocument/2006/relationships/hyperlink" Id="rId121" Target="https://doi.org/10.1016/j.foreco.2021.119361" TargetMode="External" /><Relationship Type="http://schemas.openxmlformats.org/officeDocument/2006/relationships/hyperlink" Id="rId107" Target="https://doi.org/10.1016/j.foreco.2022.120236" TargetMode="External" /><Relationship Type="http://schemas.openxmlformats.org/officeDocument/2006/relationships/hyperlink" Id="rId79" Target="https://doi.org/10.1016/j.foreco.2022.120353" TargetMode="External" /><Relationship Type="http://schemas.openxmlformats.org/officeDocument/2006/relationships/hyperlink" Id="rId139" Target="https://doi.org/10.1016/j.foreco.2022.120602" TargetMode="External" /><Relationship Type="http://schemas.openxmlformats.org/officeDocument/2006/relationships/hyperlink" Id="rId123" Target="https://doi.org/10.1029/2020GL089858" TargetMode="External" /><Relationship Type="http://schemas.openxmlformats.org/officeDocument/2006/relationships/hyperlink" Id="rId128" Target="https://doi.org/10.1093/forestry/75.4.329" TargetMode="External" /><Relationship Type="http://schemas.openxmlformats.org/officeDocument/2006/relationships/hyperlink" Id="rId115" Target="https://doi.org/10.1093/forestry/75.4.339" TargetMode="External" /><Relationship Type="http://schemas.openxmlformats.org/officeDocument/2006/relationships/hyperlink" Id="rId99" Target="https://doi.org/10.1093/jof/38.9.729" TargetMode="External" /><Relationship Type="http://schemas.openxmlformats.org/officeDocument/2006/relationships/hyperlink" Id="rId111" Target="https://doi.org/10.1093/jof/96.7.4a" TargetMode="External" /><Relationship Type="http://schemas.openxmlformats.org/officeDocument/2006/relationships/hyperlink" Id="rId143" Target="https://doi.org/10.1098/rstb.2015.0178" TargetMode="External" /><Relationship Type="http://schemas.openxmlformats.org/officeDocument/2006/relationships/hyperlink" Id="rId74" Target="https://doi.org/10.1139/X06-271" TargetMode="External" /><Relationship Type="http://schemas.openxmlformats.org/officeDocument/2006/relationships/hyperlink" Id="rId96" Target="https://doi.org/10.1139/X08-003" TargetMode="External" /><Relationship Type="http://schemas.openxmlformats.org/officeDocument/2006/relationships/hyperlink" Id="rId81" Target="https://doi.org/10.1139/cjfr-2022-0214" TargetMode="External" /><Relationship Type="http://schemas.openxmlformats.org/officeDocument/2006/relationships/hyperlink" Id="rId84" Target="https://doi.org/10.1139/x93-143" TargetMode="External" /><Relationship Type="http://schemas.openxmlformats.org/officeDocument/2006/relationships/hyperlink" Id="rId72" Target="https://doi.org/10.1186/s13717-019-0181-9" TargetMode="External" /><Relationship Type="http://schemas.openxmlformats.org/officeDocument/2006/relationships/hyperlink" Id="rId125" Target="https://doi.org/10.2737/PSW-GTR-256" TargetMode="External" /><Relationship Type="http://schemas.openxmlformats.org/officeDocument/2006/relationships/hyperlink" Id="rId103" Target="https://doi.org/10.2737/RMRS-RP-103" TargetMode="External" /><Relationship Type="http://schemas.openxmlformats.org/officeDocument/2006/relationships/hyperlink" Id="rId119" Target="https://doi.org/10.3390/f8050144" TargetMode="External" /><Relationship Type="http://schemas.openxmlformats.org/officeDocument/2006/relationships/hyperlink" Id="rId105" Target="https://doi.org/10.5558/tfc78397-3" TargetMode="External" /><Relationship Type="http://schemas.openxmlformats.org/officeDocument/2006/relationships/hyperlink" Id="rId133" Target="https://esajournals.onlinelibrary.wiley.com/doi/full/10.1890/07-1755.1" TargetMode="External" /><Relationship Type="http://schemas.openxmlformats.org/officeDocument/2006/relationships/hyperlink" Id="rId87" Target="https://scholarworks.calstate.edu/concern/theses/ws859j014" TargetMode="External" /><Relationship Type="http://schemas.openxmlformats.org/officeDocument/2006/relationships/hyperlink" Id="rId90" Target="https://www.elibrary.ru/item.asp?id=7397149" TargetMode="External" /><Relationship Type="http://schemas.openxmlformats.org/officeDocument/2006/relationships/hyperlink" Id="rId92" Target="https://www.frontiersin.org/articles/10.3389/ffgc.2020.00078" TargetMode="External" /><Relationship Type="http://schemas.openxmlformats.org/officeDocument/2006/relationships/hyperlink" Id="rId141" Target="https://www.fs.usda.gov/research/treesearch/418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Regeneration and Fuel Loading with Varying Overstory Retention in Redwood Stands 10 Years after Transformation to Multiaged Management</dc:title>
  <dc:creator>Judson Fisher</dc:creator>
  <cp:keywords/>
  <dcterms:created xsi:type="dcterms:W3CDTF">2024-04-17T20:55:35Z</dcterms:created>
  <dcterms:modified xsi:type="dcterms:W3CDTF">2024-04-17T20:55:35Z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2024-02-13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