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2.png" ContentType="image/png"/>
  <Override PartName="/word/media/rId66.png" ContentType="image/png"/>
  <Override PartName="/word/media/rId36.png" ContentType="image/png"/>
  <Override PartName="/word/media/rId49.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33" w:name="introduction"/>
    <w:p>
      <w:pPr>
        <w:pStyle w:val="Heading1"/>
      </w:pPr>
      <w:r>
        <w:t xml:space="preserve">1. Introduction</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O’Hara 2001)</w:t>
      </w:r>
      <w:r>
        <w:t xml:space="preserve"> </w:t>
      </w:r>
      <w:r>
        <w:t xml:space="preserve">. These, in turn, require a</w:t>
      </w:r>
      <w:r>
        <w:t xml:space="preserve"> </w:t>
      </w:r>
      <w:r>
        <w:t xml:space="preserve">variety of silvicultural techniques to implement and sustain</w:t>
      </w:r>
      <w:r>
        <w:t xml:space="preserve"> </w:t>
      </w:r>
      <w:r>
        <w:t xml:space="preserve">(O’Hara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and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and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O’Hara, Stancioiu, and Spencer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p>
      <w:pPr>
        <w:pStyle w:val="BodyText"/>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and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and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Belanger, and Burley 1998)</w:t>
      </w:r>
      <w:r>
        <w:t xml:space="preserve">, seasonal drought leads to cured</w:t>
      </w:r>
      <w:r>
        <w:t xml:space="preserve"> </w:t>
      </w:r>
      <w:r>
        <w:t xml:space="preserve">fuels, especially during extended breaks in coastal fog</w:t>
      </w:r>
      <w:r>
        <w:t xml:space="preserve"> </w:t>
      </w:r>
      <w:r>
        <w:t xml:space="preserve">(Jacobs, Cole, and McBride 1985)</w:t>
      </w:r>
      <w:r>
        <w:t xml:space="preserve">, and numerous physiological adaptations</w:t>
      </w:r>
      <w:r>
        <w:t xml:space="preserve"> </w:t>
      </w:r>
      <w:r>
        <w:t xml:space="preserve">suggest that redwood has evolved under fire disturbance pressure</w:t>
      </w:r>
      <w:r>
        <w:t xml:space="preserve"> </w:t>
      </w:r>
      <w:r>
        <w:t xml:space="preserve">(Varner and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and Jules 2017)</w:t>
      </w:r>
      <w:r>
        <w:t xml:space="preserve">.</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3" w:name="thinning-effects-on-fuel-summary"/>
    <w:p>
      <w:pPr>
        <w:pStyle w:val="Heading2"/>
      </w:pPr>
      <w:r>
        <w:t xml:space="preserve">1.1 Thinning effects on fuel summary</w:t>
      </w:r>
    </w:p>
    <w:p>
      <w:pPr>
        <w:pStyle w:val="FirstParagraph"/>
      </w:pPr>
      <w:r>
        <w:t xml:space="preserve">Most fuel reduction thinning research focuses on ponderosa pine (Pinus</w:t>
      </w:r>
      <w:r>
        <w:t xml:space="preserve"> </w:t>
      </w:r>
      <w:r>
        <w:t xml:space="preserve">ponderosa) forests in the United States, with additional studies from other</w:t>
      </w:r>
      <w:r>
        <w:t xml:space="preserve"> </w:t>
      </w:r>
      <w:r>
        <w:t xml:space="preserve">Mediterranean, and semi-arid regions</w:t>
      </w:r>
      <w:r>
        <w:t xml:space="preserve"> </w:t>
      </w:r>
      <w:r>
        <w:t xml:space="preserve">(Schwilk et al. 2009; Burton et al. 2022; Vilà-Vilardell et al. 2023)</w:t>
      </w:r>
      <w:r>
        <w:t xml:space="preserve">. Far</w:t>
      </w:r>
      <w:r>
        <w:t xml:space="preserve"> </w:t>
      </w:r>
      <w:r>
        <w:t xml:space="preserve">fewer studies have been conducted in coastal forests.</w:t>
      </w:r>
    </w:p>
    <w:p>
      <w:pPr>
        <w:pStyle w:val="BodyText"/>
      </w:pPr>
      <w:r>
        <w:t xml:space="preserve">Mechanical thinning and harvest treatments, except for whole tree removal,</w:t>
      </w:r>
      <w:r>
        <w:t xml:space="preserve"> </w:t>
      </w:r>
      <w:r>
        <w:t xml:space="preserve">usually increase surface fuel loading in the short term</w:t>
      </w:r>
      <w:r>
        <w:t xml:space="preserve"> </w:t>
      </w:r>
      <w:r>
        <w:t xml:space="preserve">(Stephens et al. 2009)</w:t>
      </w:r>
      <w:r>
        <w:t xml:space="preserve">. The resulting increase is variable and</w:t>
      </w:r>
      <w:r>
        <w:t xml:space="preserve"> </w:t>
      </w:r>
      <w:r>
        <w:t xml:space="preserve">likely reflects the treatment mode, intensity, and pre-existing conditions</w:t>
      </w:r>
      <w:r>
        <w:t xml:space="preserve"> </w:t>
      </w:r>
      <w:r>
        <w:t xml:space="preserve">(Schwilk et al. 2009)</w:t>
      </w:r>
      <w:r>
        <w:t xml:space="preserve">. Additional research is needed to clarify the</w:t>
      </w:r>
      <w:r>
        <w:t xml:space="preserve"> </w:t>
      </w:r>
      <w:r>
        <w:t xml:space="preserve">effects of these factors</w:t>
      </w:r>
      <w:r>
        <w:t xml:space="preserve"> </w:t>
      </w:r>
      <w:r>
        <w:t xml:space="preserve">(Schwilk et al. 2009; Stephens et al. 2009; Hood et al. 2020)</w:t>
      </w:r>
      <w:r>
        <w:t xml:space="preserve">, as well as</w:t>
      </w:r>
      <w:r>
        <w:t xml:space="preserve"> </w:t>
      </w:r>
      <w:r>
        <w:t xml:space="preserve">the long-term effects</w:t>
      </w:r>
      <w:r>
        <w:t xml:space="preserve"> </w:t>
      </w:r>
      <w:r>
        <w:t xml:space="preserve">(Stephens, Collins, and Roller 2012; Hood et al. 2020)</w:t>
      </w:r>
      <w:r>
        <w:t xml:space="preserve">.</w:t>
      </w:r>
    </w:p>
    <w:p>
      <w:pPr>
        <w:pStyle w:val="BodyText"/>
      </w:pPr>
      <w:r>
        <w:t xml:space="preserve">The fine dead fuels (&lt; 8 cm) generated by treatment activities typically</w:t>
      </w:r>
      <w:r>
        <w:t xml:space="preserve"> </w:t>
      </w:r>
      <w:r>
        <w:t xml:space="preserve">decompose within 10 years</w:t>
      </w:r>
      <w:r>
        <w:t xml:space="preserve"> </w:t>
      </w:r>
      <w:r>
        <w:t xml:space="preserve">(Stephens, Collins, and Roller 2012; Hood et al. 2020; Burton et al. 2022; O’Hara et al. 2017; Martinson and Omi 2013)</w:t>
      </w:r>
      <w:r>
        <w:t xml:space="preserve">. But</w:t>
      </w:r>
      <w:r>
        <w:t xml:space="preserve"> </w:t>
      </w:r>
      <w:r>
        <w:t xml:space="preserve">vegetative fuels, which respond vigorously to increased growing space, often</w:t>
      </w:r>
      <w:r>
        <w:t xml:space="preserve"> </w:t>
      </w:r>
      <w:r>
        <w:t xml:space="preserve">persist or increase over time</w:t>
      </w:r>
      <w:r>
        <w:t xml:space="preserve"> </w:t>
      </w:r>
      <w:r>
        <w:t xml:space="preserve">(Keyes and Varner 2006)</w:t>
      </w:r>
      <w:r>
        <w:t xml:space="preserve">. The</w:t>
      </w:r>
      <w:r>
        <w:t xml:space="preserve"> </w:t>
      </w:r>
      <w:r>
        <w:t xml:space="preserve">nature of this response depends on eco-type and the amount of growing space</w:t>
      </w:r>
      <w:r>
        <w:t xml:space="preserve"> </w:t>
      </w:r>
      <w:r>
        <w:t xml:space="preserve">created by the treatment which can become dominated by herbaceous plants</w:t>
      </w:r>
      <w:r>
        <w:t xml:space="preserve"> </w:t>
      </w:r>
      <w:r>
        <w:t xml:space="preserve">(Vilà-Vilardell et al. 2023)</w:t>
      </w:r>
      <w:r>
        <w:t xml:space="preserve">, shrubs</w:t>
      </w:r>
      <w:r>
        <w:t xml:space="preserve"> </w:t>
      </w:r>
      <w:r>
        <w:t xml:space="preserve">(Odland et al. 2021)</w:t>
      </w:r>
      <w:r>
        <w:t xml:space="preserve">, or small trees</w:t>
      </w:r>
      <w:r>
        <w:t xml:space="preserve"> </w:t>
      </w:r>
      <w:r>
        <w:t xml:space="preserve">(Hood et al. 2020)</w:t>
      </w:r>
      <w:r>
        <w:t xml:space="preserve">.</w:t>
      </w:r>
    </w:p>
    <w:p>
      <w:pPr>
        <w:pStyle w:val="BodyText"/>
      </w:pPr>
      <w:r>
        <w:t xml:space="preserve">Duff and litter loads are frequently lower in more open stands, which may result</w:t>
      </w:r>
      <w:r>
        <w:t xml:space="preserve"> </w:t>
      </w:r>
      <w:r>
        <w:t xml:space="preserve">from increased decomposition rates due to greater insolation and increased</w:t>
      </w:r>
      <w:r>
        <w:t xml:space="preserve"> </w:t>
      </w:r>
      <w:r>
        <w:t xml:space="preserve">throughfall, or reduced deposition rates resulting from fewer canopy fuels</w:t>
      </w:r>
      <w:r>
        <w:t xml:space="preserve"> </w:t>
      </w:r>
      <w:r>
        <w:t xml:space="preserve">(Hood et al. 2020; Keane 2008)</w:t>
      </w:r>
      <w:r>
        <w:t xml:space="preserve">.</w:t>
      </w:r>
    </w:p>
    <w:bookmarkEnd w:id="23"/>
    <w:bookmarkStart w:id="31" w:name="thinning-effects-on-sprouting"/>
    <w:p>
      <w:pPr>
        <w:pStyle w:val="Heading2"/>
      </w:pPr>
      <w:r>
        <w:t xml:space="preserve">1.2 Thinning effects on sprouting</w:t>
      </w:r>
    </w:p>
    <w:bookmarkStart w:id="26" w:name="Xf6ef375c63a9b2eaf02050e3553483477177cab"/>
    <w:p>
      <w:pPr>
        <w:pStyle w:val="Heading3"/>
      </w:pPr>
      <w:r>
        <w:t xml:space="preserve">1.2.1 Probability of stump sprouting and sprout density</w:t>
      </w:r>
    </w:p>
    <w:p>
      <w:pPr>
        <w:pStyle w:val="FirstParagraph"/>
      </w:pPr>
      <w:r>
        <w:t xml:space="preserve">Different metrics are used to quantify sprouting response following harvest or</w:t>
      </w:r>
      <w:r>
        <w:t xml:space="preserve"> </w:t>
      </w:r>
      <w:r>
        <w:t xml:space="preserve">thinning treatments. The most commonly used are probability of sprouting, the</w:t>
      </w:r>
      <w:r>
        <w:t xml:space="preserve"> </w:t>
      </w:r>
      <w:r>
        <w:t xml:space="preserve">which is usually defined as the percent of stumps that have at least one sprout,</w:t>
      </w:r>
      <w:r>
        <w:t xml:space="preserve"> </w:t>
      </w:r>
      <w:r>
        <w:t xml:space="preserve">sprout density, or the number of sprouts on a stump, or ocassionaly, within a</w:t>
      </w:r>
      <w:r>
        <w:t xml:space="preserve"> </w:t>
      </w:r>
      <w:r>
        <w:t xml:space="preserve">sprout clump, and sprout development, which can include average height, top</w:t>
      </w:r>
      <w:r>
        <w:t xml:space="preserve"> </w:t>
      </w:r>
      <w:r>
        <w:t xml:space="preserve">height—the height of the tallest sprout in a clump—or caliper, the sprout</w:t>
      </w:r>
      <w:r>
        <w:t xml:space="preserve"> </w:t>
      </w:r>
      <w:r>
        <w:t xml:space="preserve">diameter at a given height. Because these metrics capture different</w:t>
      </w:r>
      <w:r>
        <w:t xml:space="preserve"> </w:t>
      </w:r>
      <w:r>
        <w:t xml:space="preserve">characteristics of sprout resposne, they tend to vary differently (or not vary)</w:t>
      </w:r>
      <w:r>
        <w:t xml:space="preserve"> </w:t>
      </w:r>
      <w:r>
        <w:t xml:space="preserve">with factors such as species, site characteristics, over-story density, parent</w:t>
      </w:r>
      <w:r>
        <w:t xml:space="preserve"> </w:t>
      </w:r>
      <w:r>
        <w:t xml:space="preserve">stump age/diameter and geographic province. This complexity makes it difficult</w:t>
      </w:r>
      <w:r>
        <w:t xml:space="preserve"> </w:t>
      </w:r>
      <w:r>
        <w:t xml:space="preserve">to sum up sprout response dynamics succinctly.</w:t>
      </w:r>
    </w:p>
    <w:p>
      <w:pPr>
        <w:pStyle w:val="BodyText"/>
      </w:pPr>
      <w:r>
        <w:t xml:space="preserve">An important consideration in comparing sprout response across studies is the</w:t>
      </w:r>
      <w:r>
        <w:t xml:space="preserve"> </w:t>
      </w:r>
      <w:r>
        <w:t xml:space="preserve">time of measurement. Sprout growth in most species is initiated by the</w:t>
      </w:r>
      <w:r>
        <w:t xml:space="preserve"> </w:t>
      </w:r>
      <w:r>
        <w:t xml:space="preserve">moblization of carbohydrates stored in the underground portions of the tree.</w:t>
      </w:r>
      <w:r>
        <w:t xml:space="preserve"> </w:t>
      </w:r>
      <w:r>
        <w:t xml:space="preserve">Sprout clumps can consist of 100 or more stems the first year after cutting, but</w:t>
      </w:r>
      <w:r>
        <w:t xml:space="preserve"> </w:t>
      </w:r>
      <w:r>
        <w:t xml:space="preserve">rapidly self-thin in full light and under overstory competition, this loss may</w:t>
      </w:r>
      <w:r>
        <w:t xml:space="preserve"> </w:t>
      </w:r>
      <w:r>
        <w:t xml:space="preserve">proceed even more rapidly, possibly resulting in the mortality of the entire</w:t>
      </w:r>
      <w:r>
        <w:t xml:space="preserve"> </w:t>
      </w:r>
      <w:r>
        <w:t xml:space="preserve">clump. Thus early sprout clumps which could have as many as 100 or more stems in</w:t>
      </w:r>
      <w:r>
        <w:t xml:space="preserve"> </w:t>
      </w:r>
      <w:r>
        <w:t xml:space="preserve">the first year, may have substantailly fewer in the 4 year (or cease to exist)</w:t>
      </w:r>
      <w:r>
        <w:t xml:space="preserve"> </w:t>
      </w:r>
      <w:r>
        <w:t xml:space="preserve">and by year 20 or 30 may have only a few remaining stems.</w:t>
      </w:r>
    </w:p>
    <w:p>
      <w:pPr>
        <w:pStyle w:val="BodyText"/>
      </w:pPr>
      <w:r>
        <w:t xml:space="preserve">It is common among many sprouting species for sprouting probability to decline</w:t>
      </w:r>
      <w:r>
        <w:t xml:space="preserve"> </w:t>
      </w:r>
      <w:r>
        <w:t xml:space="preserve">with increasing tree size or age, but this effect is known to vary by species</w:t>
      </w:r>
      <w:r>
        <w:t xml:space="preserve"> </w:t>
      </w:r>
      <w:r>
        <w:t xml:space="preserve">and may be related to site factors as well. In redwoods, some authors have found</w:t>
      </w:r>
      <w:r>
        <w:t xml:space="preserve"> </w:t>
      </w:r>
      <w:r>
        <w:t xml:space="preserve">evidence of this trend, while others have not. This may be due to the very wide</w:t>
      </w:r>
      <w:r>
        <w:t xml:space="preserve"> </w:t>
      </w:r>
      <w:r>
        <w:t xml:space="preserve">range of tree size and ages possible with redwoods. It has been suggested that</w:t>
      </w:r>
      <w:r>
        <w:t xml:space="preserve"> </w:t>
      </w:r>
      <w:r>
        <w:t xml:space="preserve">probabitly of sprouting may initally increase up to a certain point, and then</w:t>
      </w:r>
      <w:r>
        <w:t xml:space="preserve"> </w:t>
      </w:r>
      <w:r>
        <w:t xml:space="preserve">decrease with trees older than around 2 to 400 years. The decreasing</w:t>
      </w:r>
      <w:r>
        <w:t xml:space="preserve"> </w:t>
      </w:r>
      <w:r>
        <w:t xml:space="preserve">probabilitiy in sprouting has been demonstrated for tanoak, and other coastal</w:t>
      </w:r>
      <w:r>
        <w:t xml:space="preserve"> </w:t>
      </w:r>
      <w:r>
        <w:t xml:space="preserve">hardwoods.</w:t>
      </w:r>
    </w:p>
    <w:p>
      <w:pPr>
        <w:pStyle w:val="BodyText"/>
      </w:pPr>
      <w:r>
        <w:t xml:space="preserve">Generally, the clearest relationship is the positive one between sprout growth</w:t>
      </w:r>
      <w:r>
        <w:t xml:space="preserve"> </w:t>
      </w:r>
      <w:r>
        <w:t xml:space="preserve">and overstory density.</w:t>
      </w:r>
    </w:p>
    <w:bookmarkStart w:id="24" w:name="redwood"/>
    <w:p>
      <w:pPr>
        <w:pStyle w:val="Heading4"/>
      </w:pPr>
      <w:r>
        <w:t xml:space="preserve">1.2.1.1 redwood</w:t>
      </w:r>
    </w:p>
    <w:p>
      <w:pPr>
        <w:numPr>
          <w:ilvl w:val="0"/>
          <w:numId w:val="1001"/>
        </w:numPr>
        <w:pStyle w:val="Compact"/>
      </w:pPr>
      <w:r>
        <w:t xml:space="preserve">Studies in old growth and young growth</w:t>
      </w:r>
    </w:p>
    <w:p>
      <w:pPr>
        <w:numPr>
          <w:ilvl w:val="0"/>
          <w:numId w:val="1001"/>
        </w:numPr>
        <w:pStyle w:val="Compact"/>
      </w:pPr>
      <w:r>
        <w:t xml:space="preserve">Studies are inconclusive:</w:t>
      </w:r>
    </w:p>
    <w:p>
      <w:pPr>
        <w:numPr>
          <w:ilvl w:val="1"/>
          <w:numId w:val="1002"/>
        </w:numPr>
        <w:pStyle w:val="Compact"/>
      </w:pPr>
      <w:r>
        <w:t xml:space="preserve">weak inverse relationship between residual basal area and percentage of</w:t>
      </w:r>
      <w:r>
        <w:t xml:space="preserve"> </w:t>
      </w:r>
      <w:r>
        <w:t xml:space="preserve">sprouting (lindquist, second-growth)</w:t>
      </w:r>
    </w:p>
    <w:p>
      <w:pPr>
        <w:numPr>
          <w:ilvl w:val="1"/>
          <w:numId w:val="1002"/>
        </w:numPr>
        <w:pStyle w:val="Compact"/>
      </w:pPr>
      <w:r>
        <w:t xml:space="preserve">data suggest similar relationships for number of sprouts and number of</w:t>
      </w:r>
      <w:r>
        <w:t xml:space="preserve"> </w:t>
      </w:r>
      <w:r>
        <w:t xml:space="preserve">clumps (lindquist)</w:t>
      </w:r>
    </w:p>
    <w:p>
      <w:pPr>
        <w:numPr>
          <w:ilvl w:val="1"/>
          <w:numId w:val="1002"/>
        </w:numPr>
        <w:pStyle w:val="Compact"/>
      </w:pPr>
      <w:r>
        <w:t xml:space="preserve">differing reports of percent sprouting relation to stump size or age</w:t>
      </w:r>
    </w:p>
    <w:p>
      <w:pPr>
        <w:numPr>
          <w:ilvl w:val="2"/>
          <w:numId w:val="1003"/>
        </w:numPr>
        <w:pStyle w:val="Compact"/>
      </w:pPr>
      <w:r>
        <w:t xml:space="preserve">percent sprouting not related to size (lindquist, 1979; Barrette, 1966)</w:t>
      </w:r>
    </w:p>
    <w:p>
      <w:pPr>
        <w:numPr>
          <w:ilvl w:val="2"/>
          <w:numId w:val="1003"/>
        </w:numPr>
        <w:pStyle w:val="Compact"/>
      </w:pPr>
      <w:r>
        <w:t xml:space="preserve">percent sprouting negatively related to size and age (Neal, 1967)</w:t>
      </w:r>
    </w:p>
    <w:p>
      <w:pPr>
        <w:numPr>
          <w:ilvl w:val="2"/>
          <w:numId w:val="1003"/>
        </w:numPr>
        <w:pStyle w:val="Compact"/>
      </w:pPr>
      <w:r>
        <w:t xml:space="preserve">percent sprouting negatively related to size and age (Wiant and Powers, 1966)</w:t>
      </w:r>
    </w:p>
    <w:p>
      <w:pPr>
        <w:numPr>
          <w:ilvl w:val="1"/>
          <w:numId w:val="1002"/>
        </w:numPr>
        <w:pStyle w:val="Compact"/>
      </w:pPr>
      <w:r>
        <w:t xml:space="preserve">Number of sprouts not related to overstory basal area (Barrett, 1988)</w:t>
      </w:r>
    </w:p>
    <w:p>
      <w:pPr>
        <w:numPr>
          <w:ilvl w:val="1"/>
          <w:numId w:val="1002"/>
        </w:numPr>
        <w:pStyle w:val="Compact"/>
      </w:pPr>
      <w:r>
        <w:t xml:space="preserve">Number of sprouts may increase with stump size up to a point and then</w:t>
      </w:r>
      <w:r>
        <w:t xml:space="preserve"> </w:t>
      </w:r>
      <w:r>
        <w:t xml:space="preserve">decrease (O’Hara, 2007)</w:t>
      </w:r>
    </w:p>
    <w:p>
      <w:pPr>
        <w:pStyle w:val="FirstParagraph"/>
      </w:pPr>
      <w:r>
        <w:t xml:space="preserve">There are conflicted reports regarding the effect of overstory oppenness on</w:t>
      </w:r>
      <w:r>
        <w:t xml:space="preserve"> </w:t>
      </w:r>
      <w:r>
        <w:t xml:space="preserve">sprouting density or probability in redwood forests. This is the case for</w:t>
      </w:r>
      <w:r>
        <w:t xml:space="preserve"> </w:t>
      </w:r>
      <w:r>
        <w:t xml:space="preserve">eastern hardwoods as well. Some studies have shown increased sprout abundance</w:t>
      </w:r>
      <w:r>
        <w:t xml:space="preserve"> </w:t>
      </w:r>
      <w:r>
        <w:t xml:space="preserve">This is related to rapid self-thinning observed in multiple species, which has</w:t>
      </w:r>
      <w:r>
        <w:t xml:space="preserve"> </w:t>
      </w:r>
      <w:r>
        <w:t xml:space="preserve">also been found to be un-related to overstory density.</w:t>
      </w:r>
    </w:p>
    <w:bookmarkEnd w:id="24"/>
    <w:bookmarkStart w:id="25" w:name="tanoak"/>
    <w:p>
      <w:pPr>
        <w:pStyle w:val="Heading4"/>
      </w:pPr>
      <w:r>
        <w:t xml:space="preserve">1.2.1.2 tanoak</w:t>
      </w:r>
    </w:p>
    <w:bookmarkEnd w:id="25"/>
    <w:bookmarkEnd w:id="26"/>
    <w:bookmarkStart w:id="29" w:name="sprout-development"/>
    <w:p>
      <w:pPr>
        <w:pStyle w:val="Heading3"/>
      </w:pPr>
      <w:r>
        <w:t xml:space="preserve">1.2.2 Sprout development</w:t>
      </w:r>
    </w:p>
    <w:bookmarkStart w:id="27" w:name="redwood-1"/>
    <w:p>
      <w:pPr>
        <w:pStyle w:val="Heading4"/>
      </w:pPr>
      <w:r>
        <w:t xml:space="preserve">1.2.2.1 redwood</w:t>
      </w:r>
    </w:p>
    <w:bookmarkEnd w:id="27"/>
    <w:bookmarkStart w:id="28" w:name="tanoak-1"/>
    <w:p>
      <w:pPr>
        <w:pStyle w:val="Heading4"/>
      </w:pPr>
      <w:r>
        <w:t xml:space="preserve">1.2.2.2 tanoak</w:t>
      </w:r>
    </w:p>
    <w:bookmarkEnd w:id="28"/>
    <w:bookmarkEnd w:id="29"/>
    <w:bookmarkStart w:id="30" w:name="composition"/>
    <w:p>
      <w:pPr>
        <w:pStyle w:val="Heading3"/>
      </w:pPr>
      <w:r>
        <w:t xml:space="preserve">1.2.3 Composition</w:t>
      </w:r>
    </w:p>
    <w:p>
      <w:pPr>
        <w:numPr>
          <w:ilvl w:val="0"/>
          <w:numId w:val="1004"/>
        </w:numPr>
        <w:pStyle w:val="Compact"/>
      </w:pPr>
      <w:r>
        <w:t xml:space="preserve">☐ rapid self-thinning: for oaks and redwood - not related to retention</w:t>
      </w:r>
    </w:p>
    <w:p>
      <w:pPr>
        <w:numPr>
          <w:ilvl w:val="0"/>
          <w:numId w:val="1004"/>
        </w:numPr>
        <w:pStyle w:val="Compact"/>
      </w:pPr>
      <w:r>
        <w:t xml:space="preserve">☐ below ground competition for resources</w:t>
      </w:r>
    </w:p>
    <w:p>
      <w:pPr>
        <w:numPr>
          <w:ilvl w:val="0"/>
          <w:numId w:val="1004"/>
        </w:numPr>
        <w:pStyle w:val="Compact"/>
      </w:pPr>
      <w:r>
        <w:t xml:space="preserve">☐ In other species, number of sprouts and sprouting probability depends on</w:t>
      </w:r>
      <w:r>
        <w:t xml:space="preserve"> </w:t>
      </w:r>
      <w:r>
        <w:t xml:space="preserve">stump size/age, but this has not been shown for redwood.</w:t>
      </w:r>
    </w:p>
    <w:p>
      <w:pPr>
        <w:numPr>
          <w:ilvl w:val="0"/>
          <w:numId w:val="1004"/>
        </w:numPr>
        <w:pStyle w:val="Compact"/>
      </w:pPr>
      <w:r>
        <w:t xml:space="preserve">☐ Sprout height growth depends on stump diameter</w:t>
      </w:r>
    </w:p>
    <w:p>
      <w:pPr>
        <w:numPr>
          <w:ilvl w:val="0"/>
          <w:numId w:val="1004"/>
        </w:numPr>
        <w:pStyle w:val="Compact"/>
      </w:pPr>
      <w:r>
        <w:t xml:space="preserve">☐ Shade tollerance of redwood, tanoak, and Douglas-fir</w:t>
      </w:r>
    </w:p>
    <w:p>
      <w:pPr>
        <w:numPr>
          <w:ilvl w:val="0"/>
          <w:numId w:val="1004"/>
        </w:numPr>
        <w:pStyle w:val="Compact"/>
      </w:pPr>
      <w:r>
        <w:t xml:space="preserve">☐ Number of sprouts not related to residual overstory</w:t>
      </w:r>
      <w:r>
        <w:t xml:space="preserve"> </w:t>
      </w:r>
      <w:r>
        <w:t xml:space="preserve">(Barrett 1988)</w:t>
      </w:r>
    </w:p>
    <w:p>
      <w:pPr>
        <w:numPr>
          <w:ilvl w:val="0"/>
          <w:numId w:val="1004"/>
        </w:numPr>
        <w:pStyle w:val="Compact"/>
      </w:pPr>
      <w:r>
        <w:t xml:space="preserve">☐ Early sprout growth expected to be a function of carbohydrate reserves</w:t>
      </w:r>
      <w:r>
        <w:t xml:space="preserve"> </w:t>
      </w:r>
      <w:r>
        <w:t xml:space="preserve">(O’Hara, Stancioiu, and Spencer 2007)</w:t>
      </w:r>
    </w:p>
    <w:p>
      <w:pPr>
        <w:numPr>
          <w:ilvl w:val="0"/>
          <w:numId w:val="1004"/>
        </w:numPr>
        <w:pStyle w:val="Compact"/>
      </w:pPr>
      <w:r>
        <w:t xml:space="preserve">☐ Sprout growth (height and diameter) dependent on overstory retention</w:t>
      </w:r>
    </w:p>
    <w:p>
      <w:pPr>
        <w:numPr>
          <w:ilvl w:val="0"/>
          <w:numId w:val="1004"/>
        </w:numPr>
        <w:pStyle w:val="Compact"/>
      </w:pPr>
      <w:r>
        <w:t xml:space="preserve">☐ Sprouters vs seeders relationship with overstory retention</w:t>
      </w:r>
    </w:p>
    <w:p>
      <w:pPr>
        <w:numPr>
          <w:ilvl w:val="0"/>
          <w:numId w:val="1004"/>
        </w:numPr>
        <w:pStyle w:val="Compact"/>
      </w:pPr>
      <w:r>
        <w:t xml:space="preserve">☐ Redwood is unique among conifers for sprouting ability</w:t>
      </w:r>
    </w:p>
    <w:p>
      <w:pPr>
        <w:numPr>
          <w:ilvl w:val="0"/>
          <w:numId w:val="1004"/>
        </w:numPr>
        <w:pStyle w:val="Compact"/>
      </w:pPr>
      <w:r>
        <w:t xml:space="preserve">☐ special consideration: bear damage</w:t>
      </w:r>
    </w:p>
    <w:bookmarkEnd w:id="30"/>
    <w:bookmarkEnd w:id="31"/>
    <w:bookmarkStart w:id="32" w:name="references"/>
    <w:p>
      <w:pPr>
        <w:pStyle w:val="Heading2"/>
      </w:pPr>
      <w:r>
        <w:t xml:space="preserve">1.3 References</w:t>
      </w:r>
    </w:p>
    <w:bookmarkEnd w:id="32"/>
    <w:bookmarkEnd w:id="33"/>
    <w:bookmarkStart w:id="34" w:name="methods"/>
    <w:p>
      <w:pPr>
        <w:pStyle w:val="Heading1"/>
      </w:pPr>
      <w:r>
        <w:t xml:space="preserve">2. Methods</w:t>
      </w:r>
    </w:p>
    <w:p>
      <w:pPr>
        <w:pStyle w:val="FirstParagraph"/>
      </w:pPr>
      <w:r>
        <w:t xml:space="preserve">This will be the methods.</w:t>
      </w:r>
    </w:p>
    <w:bookmarkEnd w:id="34"/>
    <w:bookmarkStart w:id="78" w:name="results"/>
    <w:p>
      <w:pPr>
        <w:pStyle w:val="Heading1"/>
      </w:pPr>
      <w:r>
        <w:t xml:space="preserve">3. Results</w:t>
      </w:r>
    </w:p>
    <w:bookmarkStart w:id="47" w:name="regeneration-composition"/>
    <w:p>
      <w:pPr>
        <w:pStyle w:val="Heading2"/>
      </w:pPr>
      <w:r>
        <w:t xml:space="preserve">3.1 Regeneration composition</w:t>
      </w:r>
    </w:p>
    <w:bookmarkStart w:id="40"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35"/>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9" w:name="fig-mod-regen-ba"/>
          <w:p>
            <w:pPr>
              <w:pStyle w:val="Compact"/>
              <w:jc w:val="center"/>
            </w:pPr>
            <w:r>
              <w:drawing>
                <wp:inline>
                  <wp:extent cx="4620126" cy="3696101"/>
                  <wp:effectExtent b="0" l="0" r="0" t="0"/>
                  <wp:docPr descr="" title="" id="37" name="Picture"/>
                  <a:graphic>
                    <a:graphicData uri="http://schemas.openxmlformats.org/drawingml/2006/picture">
                      <pic:pic>
                        <pic:nvPicPr>
                          <pic:cNvPr descr="thesis/results_files/figure-docx/fig-mod-regen-ba-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9"/>
        </w:tc>
      </w:tr>
    </w:tbl>
    <w:bookmarkEnd w:id="40"/>
    <w:bookmarkStart w:id="46"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41"/>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mod-df-counts"/>
          <w:p>
            <w:pPr>
              <w:pStyle w:val="Compact"/>
              <w:jc w:val="center"/>
            </w:pPr>
            <w:r>
              <w:drawing>
                <wp:inline>
                  <wp:extent cx="4620126" cy="3696101"/>
                  <wp:effectExtent b="0" l="0" r="0" t="0"/>
                  <wp:docPr descr="" title="" id="43" name="Picture"/>
                  <a:graphic>
                    <a:graphicData uri="http://schemas.openxmlformats.org/drawingml/2006/picture">
                      <pic:pic>
                        <pic:nvPicPr>
                          <pic:cNvPr descr="thesis/results_files/figure-docx/fig-mod-df-coun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45"/>
        </w:tc>
      </w:tr>
    </w:tbl>
    <w:bookmarkEnd w:id="46"/>
    <w:bookmarkEnd w:id="47"/>
    <w:bookmarkStart w:id="64" w:name="sprout-heights"/>
    <w:p>
      <w:pPr>
        <w:pStyle w:val="Heading2"/>
      </w:pPr>
      <w:r>
        <w:t xml:space="preserve">3.2 Sprout heights</w:t>
      </w:r>
    </w:p>
    <w:bookmarkStart w:id="57"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48"/>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52" w:name="fig-mod-sprout-ht-inc-treat"/>
          <w:p>
            <w:pPr>
              <w:pStyle w:val="Compact"/>
              <w:jc w:val="center"/>
            </w:pPr>
            <w:r>
              <w:drawing>
                <wp:inline>
                  <wp:extent cx="4620126" cy="3696101"/>
                  <wp:effectExtent b="0" l="0" r="0" t="0"/>
                  <wp:docPr descr="" title="" id="50" name="Picture"/>
                  <a:graphic>
                    <a:graphicData uri="http://schemas.openxmlformats.org/drawingml/2006/picture">
                      <pic:pic>
                        <pic:nvPicPr>
                          <pic:cNvPr descr="thesis/results_files/figure-docx/fig-mod-sprout-ht-inc-trea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52"/>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fig-mod-sprout-ht-inc-year"/>
          <w:p>
            <w:pPr>
              <w:pStyle w:val="Compact"/>
              <w:jc w:val="center"/>
            </w:pPr>
            <w:r>
              <w:drawing>
                <wp:inline>
                  <wp:extent cx="4620126" cy="3696101"/>
                  <wp:effectExtent b="0" l="0" r="0" t="0"/>
                  <wp:docPr descr="" title="" id="54" name="Picture"/>
                  <a:graphic>
                    <a:graphicData uri="http://schemas.openxmlformats.org/drawingml/2006/picture">
                      <pic:pic>
                        <pic:nvPicPr>
                          <pic:cNvPr descr="thesis/results_files/figure-docx/fig-mod-sprout-ht-inc-year-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56"/>
        </w:tc>
      </w:tr>
    </w:tbl>
    <w:bookmarkEnd w:id="57"/>
    <w:bookmarkStart w:id="63"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58"/>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fig-mod-sprout-ht-yr-10"/>
          <w:p>
            <w:pPr>
              <w:pStyle w:val="Compact"/>
              <w:jc w:val="center"/>
            </w:pPr>
            <w:r>
              <w:drawing>
                <wp:inline>
                  <wp:extent cx="4620126" cy="3696101"/>
                  <wp:effectExtent b="0" l="0" r="0" t="0"/>
                  <wp:docPr descr="" title="" id="60" name="Picture"/>
                  <a:graphic>
                    <a:graphicData uri="http://schemas.openxmlformats.org/drawingml/2006/picture">
                      <pic:pic>
                        <pic:nvPicPr>
                          <pic:cNvPr descr="thesis/results_files/figure-docx/fig-mod-sprout-ht-yr-1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62"/>
        </w:tc>
      </w:tr>
    </w:tbl>
    <w:bookmarkEnd w:id="63"/>
    <w:bookmarkEnd w:id="64"/>
    <w:bookmarkStart w:id="77" w:name="fuels"/>
    <w:p>
      <w:pPr>
        <w:pStyle w:val="Heading2"/>
      </w:pPr>
      <w:r>
        <w:t xml:space="preserve">3.3 Fuels</w:t>
      </w:r>
    </w:p>
    <w:bookmarkStart w:id="70"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5"/>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9" w:name="fig-mod-fuel-pre-pct"/>
          <w:p>
            <w:pPr>
              <w:pStyle w:val="Compact"/>
              <w:jc w:val="center"/>
            </w:pPr>
            <w:r>
              <w:drawing>
                <wp:inline>
                  <wp:extent cx="5334000" cy="2667000"/>
                  <wp:effectExtent b="0" l="0" r="0" t="0"/>
                  <wp:docPr descr="" title="" id="67" name="Picture"/>
                  <a:graphic>
                    <a:graphicData uri="http://schemas.openxmlformats.org/drawingml/2006/picture">
                      <pic:pic>
                        <pic:nvPicPr>
                          <pic:cNvPr descr="thesis/results_files/figure-docx/fig-mod-fuel-pre-pct-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69"/>
        </w:tc>
      </w:tr>
    </w:tbl>
    <w:bookmarkEnd w:id="70"/>
    <w:bookmarkStart w:id="76"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1"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71"/>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75" w:name="fig-mod-fuel-post-pct"/>
          <w:p>
            <w:pPr>
              <w:pStyle w:val="Compact"/>
              <w:jc w:val="center"/>
            </w:pPr>
            <w:r>
              <w:drawing>
                <wp:inline>
                  <wp:extent cx="5334000" cy="2667000"/>
                  <wp:effectExtent b="0" l="0" r="0" t="0"/>
                  <wp:docPr descr="" title="" id="73" name="Picture"/>
                  <a:graphic>
                    <a:graphicData uri="http://schemas.openxmlformats.org/drawingml/2006/picture">
                      <pic:pic>
                        <pic:nvPicPr>
                          <pic:cNvPr descr="thesis/results_files/figure-docx/fig-mod-fuel-post-pct-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75"/>
        </w:tc>
      </w:tr>
    </w:tbl>
    <w:bookmarkEnd w:id="76"/>
    <w:bookmarkEnd w:id="77"/>
    <w:bookmarkEnd w:id="78"/>
    <w:bookmarkStart w:id="155" w:name="discussion"/>
    <w:p>
      <w:pPr>
        <w:pStyle w:val="Heading1"/>
      </w:pPr>
      <w:r>
        <w:t xml:space="preserve">4. Discussion</w:t>
      </w:r>
    </w:p>
    <w:p>
      <w:pPr>
        <w:pStyle w:val="FirstParagraph"/>
      </w:pPr>
      <w:r>
        <w:t xml:space="preserve">This will be the discussion</w:t>
      </w:r>
    </w:p>
    <w:bookmarkStart w:id="154" w:name="refs"/>
    <w:bookmarkStart w:id="79" w:name="ref-apletEvenVsUnevenAged1994"/>
    <w:p>
      <w:pPr>
        <w:pStyle w:val="Bibliography"/>
      </w:pPr>
      <w:r>
        <w:t xml:space="preserve">Aplet, Gregory H. 1994.</w:t>
      </w:r>
      <w:r>
        <w:t xml:space="preserve"> </w:t>
      </w:r>
      <w:r>
        <w:t xml:space="preserve">“Beyond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w:t>
      </w:r>
      <w:r>
        <w:t xml:space="preserve"> </w:t>
      </w:r>
      <w:r>
        <w:t xml:space="preserve">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79"/>
    <w:bookmarkStart w:id="80" w:name="ref-barrettModelThirdGrowth1988"/>
    <w:p>
      <w:pPr>
        <w:pStyle w:val="Bibliography"/>
      </w:pPr>
      <w:r>
        <w:t xml:space="preserve">Barrett, Matthew M. 1988.</w:t>
      </w:r>
      <w:r>
        <w:t xml:space="preserve"> </w:t>
      </w:r>
      <w:r>
        <w:t xml:space="preserve">“A Model of Third Growth Coastal Redwood Sprout Establishment and Growth Under Various Levels of Overstory Removal.”</w:t>
      </w:r>
      <w:r>
        <w:t xml:space="preserve"> </w:t>
      </w:r>
      <w:r>
        <w:t xml:space="preserve">Master’s thesis, Humboldt State University.</w:t>
      </w:r>
    </w:p>
    <w:bookmarkEnd w:id="80"/>
    <w:bookmarkStart w:id="82" w:name="ref-beeseTwoDecadesVariable2019"/>
    <w:p>
      <w:pPr>
        <w:pStyle w:val="Bibliography"/>
      </w:pPr>
      <w:r>
        <w:t xml:space="preserve">Beese, William J., John Deal, B. Glen Dunsworth, Stephen J. Mitchell, and Timothy J. Philpott. 2019.</w:t>
      </w:r>
      <w:r>
        <w:t xml:space="preserve"> </w:t>
      </w:r>
      <w:r>
        <w:t xml:space="preserve">“Two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 </w:t>
      </w:r>
      <w:r>
        <w:t xml:space="preserve">8 (1): 33.</w:t>
      </w:r>
      <w:r>
        <w:t xml:space="preserve"> </w:t>
      </w:r>
      <w:hyperlink r:id="rId81">
        <w:r>
          <w:rPr>
            <w:rStyle w:val="Hyperlink"/>
          </w:rPr>
          <w:t xml:space="preserve">https://doi.org/10.1186/s13717-019-0181-9</w:t>
        </w:r>
      </w:hyperlink>
      <w:r>
        <w:t xml:space="preserve">.</w:t>
      </w:r>
    </w:p>
    <w:bookmarkEnd w:id="82"/>
    <w:bookmarkStart w:id="84" w:name="ref-berrillPatternsLeafArea2007"/>
    <w:p>
      <w:pPr>
        <w:pStyle w:val="Bibliography"/>
      </w:pPr>
      <w:r>
        <w:t xml:space="preserve">Berrill, John-Pascal, and Kevin L. O’Hara. 2007.</w:t>
      </w:r>
      <w:r>
        <w:t xml:space="preserve"> </w:t>
      </w:r>
      <w:r>
        <w:t xml:space="preserve">“Patterns of Leaf Area and Growing Space Efficiency in Young Even-Aged and Multiaged Coast Redwood Stands.”</w:t>
      </w:r>
      <w:r>
        <w:t xml:space="preserve"> </w:t>
      </w:r>
      <w:r>
        <w:rPr>
          <w:iCs/>
          <w:i/>
        </w:rPr>
        <w:t xml:space="preserve">Canadian Journal of Forest Research</w:t>
      </w:r>
      <w:r>
        <w:t xml:space="preserve"> </w:t>
      </w:r>
      <w:r>
        <w:t xml:space="preserve">37 (3): 617–26.</w:t>
      </w:r>
      <w:r>
        <w:t xml:space="preserve"> </w:t>
      </w:r>
      <w:hyperlink r:id="rId83">
        <w:r>
          <w:rPr>
            <w:rStyle w:val="Hyperlink"/>
          </w:rPr>
          <w:t xml:space="preserve">https://doi.org/10.1139/X06-271</w:t>
        </w:r>
      </w:hyperlink>
      <w:r>
        <w:t xml:space="preserve">.</w:t>
      </w:r>
    </w:p>
    <w:bookmarkEnd w:id="84"/>
    <w:bookmarkStart w:id="86" w:name="ref-berrillUnderstoryLightPredicts2018"/>
    <w:p>
      <w:pPr>
        <w:pStyle w:val="Bibliography"/>
      </w:pPr>
      <w:r>
        <w:t xml:space="preserve">Berrill, John-Pascal, Kurt Schneider, Christa M. Dagley, and Lynn A. Webb. 2018.</w:t>
      </w:r>
      <w:r>
        <w:t xml:space="preserve"> </w:t>
      </w:r>
      <w:r>
        <w:t xml:space="preserve">“Understory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 </w:t>
      </w:r>
      <w:r>
        <w:t xml:space="preserve">49 (6): 815–28.</w:t>
      </w:r>
      <w:r>
        <w:t xml:space="preserve"> </w:t>
      </w:r>
      <w:hyperlink r:id="rId85">
        <w:r>
          <w:rPr>
            <w:rStyle w:val="Hyperlink"/>
          </w:rPr>
          <w:t xml:space="preserve">https://doi.org/10.1007/s11056-018-9636-6</w:t>
        </w:r>
      </w:hyperlink>
      <w:r>
        <w:t xml:space="preserve">.</w:t>
      </w:r>
    </w:p>
    <w:bookmarkEnd w:id="86"/>
    <w:bookmarkStart w:id="87" w:name="ref-bowcuttTanoakTargetRise2011"/>
    <w:p>
      <w:pPr>
        <w:pStyle w:val="Bibliography"/>
      </w:pPr>
      <w:r>
        <w:t xml:space="preserve">Bowcutt, Frederica. 2011.</w:t>
      </w:r>
      <w:r>
        <w:t xml:space="preserve"> </w:t>
      </w:r>
      <w:r>
        <w:t xml:space="preserve">“Tanoak Target: The Rise and Fall of Herbicide Use on a Common Native Tree.”</w:t>
      </w:r>
      <w:r>
        <w:t xml:space="preserve"> </w:t>
      </w:r>
      <w:r>
        <w:rPr>
          <w:iCs/>
          <w:i/>
        </w:rPr>
        <w:t xml:space="preserve">Environmental History</w:t>
      </w:r>
      <w:r>
        <w:t xml:space="preserve"> </w:t>
      </w:r>
      <w:r>
        <w:t xml:space="preserve">16 (2): 197–225.</w:t>
      </w:r>
    </w:p>
    <w:bookmarkEnd w:id="87"/>
    <w:bookmarkStart w:id="89" w:name="ref-burtonFineFuelChanges2022"/>
    <w:p>
      <w:pPr>
        <w:pStyle w:val="Bibliography"/>
      </w:pPr>
      <w:r>
        <w:t xml:space="preserve">Burton, Jamie E., Jane G. Cawson, Alexander I. Filkov, and Trent D. Penman. 2022.</w:t>
      </w:r>
      <w:r>
        <w:t xml:space="preserve"> </w:t>
      </w:r>
      <w:r>
        <w:t xml:space="preserve">“Fine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 </w:t>
      </w:r>
      <w:r>
        <w:t xml:space="preserve">520 (September): 120353.</w:t>
      </w:r>
      <w:r>
        <w:t xml:space="preserve"> </w:t>
      </w:r>
      <w:hyperlink r:id="rId88">
        <w:r>
          <w:rPr>
            <w:rStyle w:val="Hyperlink"/>
          </w:rPr>
          <w:t xml:space="preserve">https://doi.org/10.1016/j.foreco.2022.120353</w:t>
        </w:r>
      </w:hyperlink>
      <w:r>
        <w:t xml:space="preserve">.</w:t>
      </w:r>
    </w:p>
    <w:bookmarkEnd w:id="89"/>
    <w:bookmarkStart w:id="91" w:name="ref-dagleyHeavyCrownThinning2023"/>
    <w:p>
      <w:pPr>
        <w:pStyle w:val="Bibliography"/>
      </w:pPr>
      <w:r>
        <w:t xml:space="preserve">Dagley, Christa M., Judson Fisher, Jason Teraoka, Scott Powell, and John-Pascal Berrill. 2023.</w:t>
      </w:r>
      <w:r>
        <w:t xml:space="preserve"> </w:t>
      </w:r>
      <w:r>
        <w:t xml:space="preserve">“Heavy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 </w:t>
      </w:r>
      <w:r>
        <w:t xml:space="preserve">53 (8): 579–90.</w:t>
      </w:r>
      <w:r>
        <w:t xml:space="preserve"> </w:t>
      </w:r>
      <w:hyperlink r:id="rId90">
        <w:r>
          <w:rPr>
            <w:rStyle w:val="Hyperlink"/>
          </w:rPr>
          <w:t xml:space="preserve">https://doi.org/10.1139/cjfr-2022-0214</w:t>
        </w:r>
      </w:hyperlink>
      <w:r>
        <w:t xml:space="preserve">.</w:t>
      </w:r>
    </w:p>
    <w:bookmarkEnd w:id="91"/>
    <w:bookmarkStart w:id="92" w:name="ref-finneyFuelLoadingBulk1993"/>
    <w:p>
      <w:pPr>
        <w:pStyle w:val="Bibliography"/>
      </w:pPr>
      <w:r>
        <w:t xml:space="preserve">Finney, Mark A., and Robert E. Martin. 1993a.</w:t>
      </w:r>
      <w:r>
        <w:t xml:space="preserve"> </w:t>
      </w:r>
      <w:r>
        <w:t xml:space="preserve">“Fuel Loading, Bulk Density, and Depth of Forest Floor in Coast Redwood Stands.”</w:t>
      </w:r>
      <w:r>
        <w:t xml:space="preserve"> </w:t>
      </w:r>
      <w:r>
        <w:rPr>
          <w:iCs/>
          <w:i/>
        </w:rPr>
        <w:t xml:space="preserve">Forest Science</w:t>
      </w:r>
      <w:r>
        <w:t xml:space="preserve"> </w:t>
      </w:r>
      <w:r>
        <w:t xml:space="preserve">39 (3): 617–22.</w:t>
      </w:r>
    </w:p>
    <w:bookmarkEnd w:id="92"/>
    <w:bookmarkStart w:id="94" w:name="ref-finneyModelingEffectsPrescribed1993"/>
    <w:p>
      <w:pPr>
        <w:pStyle w:val="Bibliography"/>
      </w:pPr>
      <w:r>
        <w:t xml:space="preserve">———. 1993b.</w:t>
      </w:r>
      <w:r>
        <w:t xml:space="preserve"> </w:t>
      </w:r>
      <w:r>
        <w:t xml:space="preserve">“Modeling Effects of Prescribed Fire on Young-Growth Coast Redwood Trees.”</w:t>
      </w:r>
      <w:r>
        <w:t xml:space="preserve"> </w:t>
      </w:r>
      <w:r>
        <w:rPr>
          <w:iCs/>
          <w:i/>
        </w:rPr>
        <w:t xml:space="preserve">Canadian Journal of Forest Research</w:t>
      </w:r>
      <w:r>
        <w:t xml:space="preserve"> </w:t>
      </w:r>
      <w:r>
        <w:t xml:space="preserve">23 (6): 1125–35.</w:t>
      </w:r>
      <w:r>
        <w:t xml:space="preserve"> </w:t>
      </w:r>
      <w:hyperlink r:id="rId93">
        <w:r>
          <w:rPr>
            <w:rStyle w:val="Hyperlink"/>
          </w:rPr>
          <w:t xml:space="preserve">https://doi.org/10.1139/x93-143</w:t>
        </w:r>
      </w:hyperlink>
      <w:r>
        <w:t xml:space="preserve">.</w:t>
      </w:r>
    </w:p>
    <w:bookmarkEnd w:id="94"/>
    <w:bookmarkStart w:id="95" w:name="X931487919ec4bf6cf170c96cc14a176e58468f6"/>
    <w:p>
      <w:pPr>
        <w:pStyle w:val="Bibliography"/>
      </w:pPr>
      <w:r>
        <w:t xml:space="preserve">Fonda, R. W., L. A. Belanger, and L. L. Burley. 1998.</w:t>
      </w:r>
      <w:r>
        <w:t xml:space="preserve"> </w:t>
      </w:r>
      <w:r>
        <w:t xml:space="preserve">“Burning Characteristics of Western Conifer Needles.”</w:t>
      </w:r>
      <w:r>
        <w:t xml:space="preserve"> </w:t>
      </w:r>
      <w:r>
        <w:rPr>
          <w:iCs/>
          <w:i/>
        </w:rPr>
        <w:t xml:space="preserve">Northwest Science (USA)</w:t>
      </w:r>
      <w:r>
        <w:t xml:space="preserve"> </w:t>
      </w:r>
      <w:r>
        <w:t xml:space="preserve">72 (1): 1–9.</w:t>
      </w:r>
    </w:p>
    <w:bookmarkEnd w:id="95"/>
    <w:bookmarkStart w:id="97" w:name="ref-glebockiFuelLoadingMoisture2015"/>
    <w:p>
      <w:pPr>
        <w:pStyle w:val="Bibliography"/>
      </w:pPr>
      <w:r>
        <w:t xml:space="preserve">Glebocki, Radoslaw. 2015.</w:t>
      </w:r>
      <w:r>
        <w:t xml:space="preserve"> </w:t>
      </w:r>
      <w:r>
        <w:t xml:space="preserve">“Fuel Loading and Moisture Dynamics in Thinned Coast Redwood–</w:t>
      </w:r>
      <w:r>
        <w:t xml:space="preserve">Douglas-fir</w:t>
      </w:r>
      <w:r>
        <w:t xml:space="preserve"> </w:t>
      </w:r>
      <w:r>
        <w:t xml:space="preserve">Forests in</w:t>
      </w:r>
      <w:r>
        <w:t xml:space="preserve"> </w:t>
      </w:r>
      <w:r>
        <w:t xml:space="preserve">Headwaters Forest Reserve</w:t>
      </w:r>
      <w:r>
        <w:t xml:space="preserve">,</w:t>
      </w:r>
      <w:r>
        <w:t xml:space="preserve"> </w:t>
      </w:r>
      <w:r>
        <w:t xml:space="preserve">California</w:t>
      </w:r>
      <w:r>
        <w:t xml:space="preserve">.”</w:t>
      </w:r>
      <w:r>
        <w:t xml:space="preserve"> </w:t>
      </w:r>
      <w:r>
        <w:t xml:space="preserve">Master’s thesis, Humboldt State University.</w:t>
      </w:r>
      <w:r>
        <w:t xml:space="preserve"> </w:t>
      </w:r>
      <w:hyperlink r:id="rId96">
        <w:r>
          <w:rPr>
            <w:rStyle w:val="Hyperlink"/>
          </w:rPr>
          <w:t xml:space="preserve">https://scholarworks.calstate.edu/concern/theses/ws859j014</w:t>
        </w:r>
      </w:hyperlink>
      <w:r>
        <w:t xml:space="preserve">.</w:t>
      </w:r>
    </w:p>
    <w:bookmarkEnd w:id="97"/>
    <w:bookmarkStart w:id="98" w:name="ref-grahamStructureDownedWoody2009"/>
    <w:p>
      <w:pPr>
        <w:pStyle w:val="Bibliography"/>
      </w:pPr>
      <w:r>
        <w:t xml:space="preserve">Graham, Bradley D. 2009.</w:t>
      </w:r>
      <w:r>
        <w:t xml:space="preserve"> </w:t>
      </w:r>
      <w:r>
        <w:t xml:space="preserve">“Structure of Downed Woody and Vegetative Detritus in Old-Growth</w:t>
      </w:r>
      <w:r>
        <w:t xml:space="preserve"> </w:t>
      </w:r>
      <w:r>
        <w:t xml:space="preserve">Sequoia</w:t>
      </w:r>
      <w:r>
        <w:t xml:space="preserve"> </w:t>
      </w:r>
      <w:r>
        <w:t xml:space="preserve">Sempervirens Forests.”</w:t>
      </w:r>
      <w:r>
        <w:t xml:space="preserve"> </w:t>
      </w:r>
      <w:r>
        <w:t xml:space="preserve">MS thesis, Humboldt State University.</w:t>
      </w:r>
    </w:p>
    <w:bookmarkEnd w:id="98"/>
    <w:bookmarkStart w:id="100" w:name="ref-greenleeVegetationFireHistory1983"/>
    <w:p>
      <w:pPr>
        <w:pStyle w:val="Bibliography"/>
      </w:pPr>
      <w:r>
        <w:t xml:space="preserve">Greenlee, Jason Miller. 1983.</w:t>
      </w:r>
      <w:r>
        <w:t xml:space="preserve"> </w:t>
      </w:r>
      <w:r>
        <w:t xml:space="preserve">“Vegetation, Fire History, and Fire Potential of</w:t>
      </w:r>
      <w:r>
        <w:t xml:space="preserve"> </w:t>
      </w:r>
      <w:r>
        <w:t xml:space="preserve">Big Basin Redwoods State Park</w:t>
      </w:r>
      <w:r>
        <w:t xml:space="preserve">,</w:t>
      </w:r>
      <w:r>
        <w:t xml:space="preserve"> </w:t>
      </w:r>
      <w:r>
        <w:t xml:space="preserve">California</w:t>
      </w:r>
      <w:r>
        <w:t xml:space="preserve">.”</w:t>
      </w:r>
      <w:r>
        <w:t xml:space="preserve"> </w:t>
      </w:r>
      <w:r>
        <w:t xml:space="preserve">PhD thesis, Santa Cruz, CA: University of California, Santa Cruz.</w:t>
      </w:r>
      <w:r>
        <w:t xml:space="preserve"> </w:t>
      </w:r>
      <w:hyperlink r:id="rId99">
        <w:r>
          <w:rPr>
            <w:rStyle w:val="Hyperlink"/>
          </w:rPr>
          <w:t xml:space="preserve">https://www.elibrary.ru/item.asp?id=7397149</w:t>
        </w:r>
      </w:hyperlink>
      <w:r>
        <w:t xml:space="preserve">.</w:t>
      </w:r>
    </w:p>
    <w:bookmarkEnd w:id="100"/>
    <w:bookmarkStart w:id="102" w:name="ref-hoodFuelTreatmentLongevity2020"/>
    <w:p>
      <w:pPr>
        <w:pStyle w:val="Bibliography"/>
      </w:pPr>
      <w:r>
        <w:t xml:space="preserve">Hood, Sharon M., Christopher R. Keyes, Katelynn J. Bowen, Duncan C. Lutes, and Carl Seielstad. 2020.</w:t>
      </w:r>
      <w:r>
        <w:t xml:space="preserve"> </w:t>
      </w:r>
      <w:r>
        <w:t xml:space="preserve">“Fuel Treatment Longevity in Ponderosa Pine-Dominated Forest 24 Years After Cutting and Prescribed Burning.”</w:t>
      </w:r>
      <w:r>
        <w:t xml:space="preserve"> </w:t>
      </w:r>
      <w:r>
        <w:rPr>
          <w:iCs/>
          <w:i/>
        </w:rPr>
        <w:t xml:space="preserve">Frontiers in Forests and Global Change</w:t>
      </w:r>
      <w:r>
        <w:t xml:space="preserve"> </w:t>
      </w:r>
      <w:r>
        <w:t xml:space="preserve">3.</w:t>
      </w:r>
      <w:r>
        <w:t xml:space="preserve"> </w:t>
      </w:r>
      <w:hyperlink r:id="rId101">
        <w:r>
          <w:rPr>
            <w:rStyle w:val="Hyperlink"/>
          </w:rPr>
          <w:t xml:space="preserve">https://www.frontiersin.org/articles/10.3389/ffgc.2020.00078</w:t>
        </w:r>
      </w:hyperlink>
      <w:r>
        <w:t xml:space="preserve">.</w:t>
      </w:r>
    </w:p>
    <w:bookmarkEnd w:id="102"/>
    <w:bookmarkStart w:id="104" w:name="ref-jacobsFireHistoryPerpetuation1985"/>
    <w:p>
      <w:pPr>
        <w:pStyle w:val="Bibliography"/>
      </w:pPr>
      <w:r>
        <w:t xml:space="preserve">Jacobs, Diana F., Dana W. Cole, and Joe R. McBride. 1985.</w:t>
      </w:r>
      <w:r>
        <w:t xml:space="preserve"> </w:t>
      </w:r>
      <w:r>
        <w:t xml:space="preserve">“Fire History and Perpetuation of Natural Coast Redwood Ecosystems.”</w:t>
      </w:r>
      <w:r>
        <w:t xml:space="preserve"> </w:t>
      </w:r>
      <w:r>
        <w:rPr>
          <w:iCs/>
          <w:i/>
        </w:rPr>
        <w:t xml:space="preserve">Journal of Forestry</w:t>
      </w:r>
      <w:r>
        <w:t xml:space="preserve"> </w:t>
      </w:r>
      <w:r>
        <w:t xml:space="preserve">83 (8): 494–97.</w:t>
      </w:r>
      <w:r>
        <w:t xml:space="preserve"> </w:t>
      </w:r>
      <w:hyperlink r:id="rId103">
        <w:r>
          <w:rPr>
            <w:rStyle w:val="Hyperlink"/>
          </w:rPr>
          <w:t xml:space="preserve">https://academic.oup.com/jof/article-abstract/83/8/494/4647048</w:t>
        </w:r>
      </w:hyperlink>
      <w:r>
        <w:t xml:space="preserve">.</w:t>
      </w:r>
    </w:p>
    <w:bookmarkEnd w:id="104"/>
    <w:bookmarkStart w:id="106" w:name="ref-keaneBiophysicalControlsSurface2008"/>
    <w:p>
      <w:pPr>
        <w:pStyle w:val="Bibliography"/>
      </w:pPr>
      <w:r>
        <w:t xml:space="preserve">Keane, Robert E. 2008.</w:t>
      </w:r>
      <w:r>
        <w:t xml:space="preserve"> </w:t>
      </w:r>
      <w:r>
        <w:t xml:space="preserve">“Biophysical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 </w:t>
      </w:r>
      <w:r>
        <w:t xml:space="preserve">38 (6): 1431–45.</w:t>
      </w:r>
      <w:r>
        <w:t xml:space="preserve"> </w:t>
      </w:r>
      <w:hyperlink r:id="rId105">
        <w:r>
          <w:rPr>
            <w:rStyle w:val="Hyperlink"/>
          </w:rPr>
          <w:t xml:space="preserve">https://doi.org/10.1139/X08-003</w:t>
        </w:r>
      </w:hyperlink>
      <w:r>
        <w:t xml:space="preserve">.</w:t>
      </w:r>
    </w:p>
    <w:bookmarkEnd w:id="106"/>
    <w:bookmarkStart w:id="107" w:name="X3d621bc1bef364e271470e60178ad7fea6d886a"/>
    <w:p>
      <w:pPr>
        <w:pStyle w:val="Bibliography"/>
      </w:pPr>
      <w:r>
        <w:t xml:space="preserve">Keyes, Christopher R, and J Morgan Varner. 2006.</w:t>
      </w:r>
      <w:r>
        <w:t xml:space="preserve"> </w:t>
      </w:r>
      <w:r>
        <w:t xml:space="preserve">“Pitfalls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 2006.</w:t>
      </w:r>
    </w:p>
    <w:bookmarkEnd w:id="107"/>
    <w:bookmarkStart w:id="109" w:name="ref-kittredgeComparisonForestFloors1940"/>
    <w:p>
      <w:pPr>
        <w:pStyle w:val="Bibliography"/>
      </w:pPr>
      <w:r>
        <w:t xml:space="preserve">Kittredge, Joseph. 1940.</w:t>
      </w:r>
      <w:r>
        <w:t xml:space="preserve"> </w:t>
      </w:r>
      <w:r>
        <w:t xml:space="preserve">“A Comparison of Forest Floors from Plantations of the Same Age and Environment.”</w:t>
      </w:r>
      <w:r>
        <w:t xml:space="preserve"> </w:t>
      </w:r>
      <w:r>
        <w:rPr>
          <w:iCs/>
          <w:i/>
        </w:rPr>
        <w:t xml:space="preserve">Journal of Forestry</w:t>
      </w:r>
      <w:r>
        <w:t xml:space="preserve"> </w:t>
      </w:r>
      <w:r>
        <w:t xml:space="preserve">38 (9): 729–31.</w:t>
      </w:r>
      <w:r>
        <w:t xml:space="preserve"> </w:t>
      </w:r>
      <w:hyperlink r:id="rId108">
        <w:r>
          <w:rPr>
            <w:rStyle w:val="Hyperlink"/>
          </w:rPr>
          <w:t xml:space="preserve">https://doi.org/10.1093/jof/38.9.729</w:t>
        </w:r>
      </w:hyperlink>
      <w:r>
        <w:t xml:space="preserve">.</w:t>
      </w:r>
    </w:p>
    <w:bookmarkEnd w:id="109"/>
    <w:bookmarkStart w:id="111" w:name="X82594c81dcf1d0f92e7b3c64e334c053ad78121"/>
    <w:p>
      <w:pPr>
        <w:pStyle w:val="Bibliography"/>
      </w:pPr>
      <w:r>
        <w:t xml:space="preserve">Lorimer, Craig G., Daniel J. Porter, Mary Ann Madej, John D. Stuart, Stephen D. Veirs, Steven P. Norman, Kevin L. O’Hara, and William J. Libby. 2009.</w:t>
      </w:r>
      <w:r>
        <w:t xml:space="preserve"> </w:t>
      </w:r>
      <w:r>
        <w:t xml:space="preserve">“Presettlement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 </w:t>
      </w:r>
      <w:r>
        <w:t xml:space="preserve">258 (7): 1038–54.</w:t>
      </w:r>
      <w:r>
        <w:t xml:space="preserve"> </w:t>
      </w:r>
      <w:hyperlink r:id="rId110">
        <w:r>
          <w:rPr>
            <w:rStyle w:val="Hyperlink"/>
          </w:rPr>
          <w:t xml:space="preserve">https://doi.org/10.1016/j.foreco.2009.07.008</w:t>
        </w:r>
      </w:hyperlink>
      <w:r>
        <w:t xml:space="preserve">.</w:t>
      </w:r>
    </w:p>
    <w:bookmarkEnd w:id="111"/>
    <w:bookmarkStart w:id="113" w:name="ref-martinsonFuelTreatmentsFire2013"/>
    <w:p>
      <w:pPr>
        <w:pStyle w:val="Bibliography"/>
      </w:pPr>
      <w:r>
        <w:t xml:space="preserve">Martinson, Erik J., and Philip N. Omi. 2013.</w:t>
      </w:r>
      <w:r>
        <w:t xml:space="preserve"> </w:t>
      </w:r>
      <w:r>
        <w:t xml:space="preserve">“Fuel Treatments and Fire Severity: A Meta-Analysis.”</w:t>
      </w:r>
      <w:r>
        <w:t xml:space="preserve"> </w:t>
      </w:r>
      <w:r>
        <w:t xml:space="preserve">RMRS-RP-103. Ft. Collins, CO: U.S. Department of Agriculture, Forest Service, Rocky Mountain Research Station.</w:t>
      </w:r>
      <w:r>
        <w:t xml:space="preserve"> </w:t>
      </w:r>
      <w:hyperlink r:id="rId112">
        <w:r>
          <w:rPr>
            <w:rStyle w:val="Hyperlink"/>
          </w:rPr>
          <w:t xml:space="preserve">https://doi.org/10.2737/RMRS-RP-103</w:t>
        </w:r>
      </w:hyperlink>
      <w:r>
        <w:t xml:space="preserve">.</w:t>
      </w:r>
    </w:p>
    <w:bookmarkEnd w:id="113"/>
    <w:bookmarkStart w:id="115" w:name="X96a96f4e010b3b5f3375bf838eaf704912becc6"/>
    <w:p>
      <w:pPr>
        <w:pStyle w:val="Bibliography"/>
      </w:pPr>
      <w:r>
        <w:t xml:space="preserve">Mitchell, S J, and W J Beese. 2002.</w:t>
      </w:r>
      <w:r>
        <w:t xml:space="preserve"> </w:t>
      </w:r>
      <w:r>
        <w:t xml:space="preserve">“The Retention System: Reconciling Variable Retention with the Principles of Silvicultural Systems.”</w:t>
      </w:r>
      <w:r>
        <w:t xml:space="preserve"> </w:t>
      </w:r>
      <w:r>
        <w:rPr>
          <w:iCs/>
          <w:i/>
        </w:rPr>
        <w:t xml:space="preserve">The Forestry Chronicle</w:t>
      </w:r>
      <w:r>
        <w:t xml:space="preserve"> </w:t>
      </w:r>
      <w:r>
        <w:t xml:space="preserve">78 (3): 397–403.</w:t>
      </w:r>
      <w:r>
        <w:t xml:space="preserve"> </w:t>
      </w:r>
      <w:hyperlink r:id="rId114">
        <w:r>
          <w:rPr>
            <w:rStyle w:val="Hyperlink"/>
          </w:rPr>
          <w:t xml:space="preserve">https://doi.org/10.5558/tfc78397-3</w:t>
        </w:r>
      </w:hyperlink>
      <w:r>
        <w:t xml:space="preserve">.</w:t>
      </w:r>
    </w:p>
    <w:bookmarkEnd w:id="115"/>
    <w:bookmarkStart w:id="117" w:name="ref-mumaDynamicsStumpSprout2022"/>
    <w:p>
      <w:pPr>
        <w:pStyle w:val="Bibliography"/>
      </w:pPr>
      <w:r>
        <w:t xml:space="preserve">Muma, Robert, Lynn A. Webb, Harold S. J. Zald, Kevin Boston, Christa M. Dagley, and John-Pascal Berrill. 2022.</w:t>
      </w:r>
      <w:r>
        <w:t xml:space="preserve"> </w:t>
      </w:r>
      <w:r>
        <w:t xml:space="preserve">“Dynamics of Stump Sprout Regeneration After Transformation to Multiaged Management in Coast Redwood Forests.”</w:t>
      </w:r>
      <w:r>
        <w:t xml:space="preserve"> </w:t>
      </w:r>
      <w:r>
        <w:rPr>
          <w:iCs/>
          <w:i/>
        </w:rPr>
        <w:t xml:space="preserve">Forest Ecology and Management</w:t>
      </w:r>
      <w:r>
        <w:t xml:space="preserve"> </w:t>
      </w:r>
      <w:r>
        <w:t xml:space="preserve">515 (July): 120236.</w:t>
      </w:r>
      <w:r>
        <w:t xml:space="preserve"> </w:t>
      </w:r>
      <w:hyperlink r:id="rId116">
        <w:r>
          <w:rPr>
            <w:rStyle w:val="Hyperlink"/>
          </w:rPr>
          <w:t xml:space="preserve">https://doi.org/10.1016/j.foreco.2022.120236</w:t>
        </w:r>
      </w:hyperlink>
      <w:r>
        <w:t xml:space="preserve">.</w:t>
      </w:r>
    </w:p>
    <w:bookmarkEnd w:id="117"/>
    <w:bookmarkStart w:id="119" w:name="ref-noletComparingEffectsEven2018"/>
    <w:p>
      <w:pPr>
        <w:pStyle w:val="Bibliography"/>
      </w:pPr>
      <w:r>
        <w:t xml:space="preserve">Nolet, Philippe, Daniel Kneeshaw, Christian Messier, and Martin Béland. 2018.</w:t>
      </w:r>
      <w:r>
        <w:t xml:space="preserve"> </w:t>
      </w:r>
      <w:r>
        <w:t xml:space="preserve">“Comparing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 </w:t>
      </w:r>
      <w:r>
        <w:t xml:space="preserve">8 (2): 1217–26.</w:t>
      </w:r>
      <w:r>
        <w:t xml:space="preserve"> </w:t>
      </w:r>
      <w:hyperlink r:id="rId118">
        <w:r>
          <w:rPr>
            <w:rStyle w:val="Hyperlink"/>
          </w:rPr>
          <w:t xml:space="preserve">https://doi.org/10.1002/ece3.3737</w:t>
        </w:r>
      </w:hyperlink>
      <w:r>
        <w:t xml:space="preserve">.</w:t>
      </w:r>
    </w:p>
    <w:bookmarkEnd w:id="119"/>
    <w:bookmarkStart w:id="121" w:name="X576afc95edcae7a1815c35912b88fe778db61f4"/>
    <w:p>
      <w:pPr>
        <w:pStyle w:val="Bibliography"/>
      </w:pPr>
      <w:r>
        <w:t xml:space="preserve">O’Hara, Kevin L. 1998.</w:t>
      </w:r>
      <w:r>
        <w:t xml:space="preserve"> </w:t>
      </w:r>
      <w:r>
        <w:t xml:space="preserve">“Silviculture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 </w:t>
      </w:r>
      <w:r>
        <w:t xml:space="preserve">96 (7): 4–10.</w:t>
      </w:r>
      <w:r>
        <w:t xml:space="preserve"> </w:t>
      </w:r>
      <w:hyperlink r:id="rId120">
        <w:r>
          <w:rPr>
            <w:rStyle w:val="Hyperlink"/>
          </w:rPr>
          <w:t xml:space="preserve">https://doi.org/10.1093/jof/96.7.4a</w:t>
        </w:r>
      </w:hyperlink>
      <w:r>
        <w:t xml:space="preserve">.</w:t>
      </w:r>
    </w:p>
    <w:bookmarkEnd w:id="121"/>
    <w:bookmarkStart w:id="123" w:name="Xecd8d6790cdaed58893d78d9f600c5959d02090"/>
    <w:p>
      <w:pPr>
        <w:pStyle w:val="Bibliography"/>
      </w:pPr>
      <w:r>
        <w:t xml:space="preserve">———. 2001.</w:t>
      </w:r>
      <w:r>
        <w:t xml:space="preserve"> </w:t>
      </w:r>
      <w:r>
        <w:t xml:space="preserve">“The Silviculture of Transformation — a Commentary.”</w:t>
      </w:r>
      <w:r>
        <w:t xml:space="preserve"> </w:t>
      </w:r>
      <w:r>
        <w:rPr>
          <w:iCs/>
          <w:i/>
        </w:rPr>
        <w:t xml:space="preserve">Forest Ecology and Management</w:t>
      </w:r>
      <w:r>
        <w:t xml:space="preserve">, Transformation of</w:t>
      </w:r>
      <w:r>
        <w:t xml:space="preserve"> </w:t>
      </w:r>
      <w:r>
        <w:t xml:space="preserve">Plantation Forests</w:t>
      </w:r>
      <w:r>
        <w:t xml:space="preserve">, 151 (1): 81–86.</w:t>
      </w:r>
      <w:r>
        <w:t xml:space="preserve"> </w:t>
      </w:r>
      <w:hyperlink r:id="rId122">
        <w:r>
          <w:rPr>
            <w:rStyle w:val="Hyperlink"/>
          </w:rPr>
          <w:t xml:space="preserve">https://doi.org/10.1016/S0378-1127(00)00698-8</w:t>
        </w:r>
      </w:hyperlink>
      <w:r>
        <w:t xml:space="preserve">.</w:t>
      </w:r>
    </w:p>
    <w:bookmarkEnd w:id="123"/>
    <w:bookmarkStart w:id="125" w:name="ref-oharaHistoricalDevelopmentUneven2002"/>
    <w:p>
      <w:pPr>
        <w:pStyle w:val="Bibliography"/>
      </w:pPr>
      <w:r>
        <w:t xml:space="preserve">———. 2002.</w:t>
      </w:r>
      <w:r>
        <w:t xml:space="preserve"> </w:t>
      </w:r>
      <w:r>
        <w:t xml:space="preserve">“The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 </w:t>
      </w:r>
      <w:r>
        <w:t xml:space="preserve">75 (4): 339–46.</w:t>
      </w:r>
      <w:r>
        <w:t xml:space="preserve"> </w:t>
      </w:r>
      <w:hyperlink r:id="rId124">
        <w:r>
          <w:rPr>
            <w:rStyle w:val="Hyperlink"/>
          </w:rPr>
          <w:t xml:space="preserve">https://doi.org/10.1093/forestry/75.4.339</w:t>
        </w:r>
      </w:hyperlink>
      <w:r>
        <w:t xml:space="preserve">.</w:t>
      </w:r>
    </w:p>
    <w:bookmarkEnd w:id="125"/>
    <w:bookmarkStart w:id="127" w:name="ref-oharaRegenerationDynamicsCoast2017"/>
    <w:p>
      <w:pPr>
        <w:pStyle w:val="Bibliography"/>
      </w:pPr>
      <w:r>
        <w:t xml:space="preserve">O’Hara, Kevin L., Lauren Cox, Sasha Nikolaeva, Julian Bauer, and Rachelle Hedges. 2017.</w:t>
      </w:r>
      <w:r>
        <w:t xml:space="preserve"> </w:t>
      </w:r>
      <w:r>
        <w:t xml:space="preserve">“Regeneration Dynamics of Coast Redwood, a Sprouting Conifer Species: A Review with Implications for Management and Restoration.”</w:t>
      </w:r>
      <w:r>
        <w:t xml:space="preserve"> </w:t>
      </w:r>
      <w:r>
        <w:rPr>
          <w:iCs/>
          <w:i/>
        </w:rPr>
        <w:t xml:space="preserve">Forests</w:t>
      </w:r>
      <w:r>
        <w:t xml:space="preserve"> </w:t>
      </w:r>
      <w:r>
        <w:t xml:space="preserve">8 (5): 144.</w:t>
      </w:r>
      <w:r>
        <w:t xml:space="preserve"> </w:t>
      </w:r>
      <w:hyperlink r:id="rId126">
        <w:r>
          <w:rPr>
            <w:rStyle w:val="Hyperlink"/>
          </w:rPr>
          <w:t xml:space="preserve">https://doi.org/10.3390/f8050144</w:t>
        </w:r>
      </w:hyperlink>
      <w:r>
        <w:t xml:space="preserve">.</w:t>
      </w:r>
    </w:p>
    <w:bookmarkEnd w:id="127"/>
    <w:bookmarkStart w:id="129" w:name="ref-oharaUnderstoryStumpSprout2007"/>
    <w:p>
      <w:pPr>
        <w:pStyle w:val="Bibliography"/>
      </w:pPr>
      <w:r>
        <w:t xml:space="preserve">O’Hara, Kevin L., Petru Tudor Stancioiu, and Mark A. Spencer. 2007.</w:t>
      </w:r>
      <w:r>
        <w:t xml:space="preserve"> </w:t>
      </w:r>
      <w:r>
        <w:t xml:space="preserve">“Understory Stump Sprout Development Under Variable Canopy Density and Leaf Area in Coast Redwood.”</w:t>
      </w:r>
      <w:r>
        <w:t xml:space="preserve"> </w:t>
      </w:r>
      <w:r>
        <w:rPr>
          <w:iCs/>
          <w:i/>
        </w:rPr>
        <w:t xml:space="preserve">Forest Ecology and Management</w:t>
      </w:r>
      <w:r>
        <w:t xml:space="preserve"> </w:t>
      </w:r>
      <w:r>
        <w:t xml:space="preserve">244 (1): 76–85.</w:t>
      </w:r>
      <w:r>
        <w:t xml:space="preserve"> </w:t>
      </w:r>
      <w:hyperlink r:id="rId128">
        <w:r>
          <w:rPr>
            <w:rStyle w:val="Hyperlink"/>
          </w:rPr>
          <w:t xml:space="preserve">https://doi.org/10.1016/j.foreco.2007.03.062</w:t>
        </w:r>
      </w:hyperlink>
      <w:r>
        <w:t xml:space="preserve">.</w:t>
      </w:r>
    </w:p>
    <w:bookmarkEnd w:id="129"/>
    <w:bookmarkStart w:id="131" w:name="ref-odlandPlantCommunityResponse2021"/>
    <w:p>
      <w:pPr>
        <w:pStyle w:val="Bibliography"/>
      </w:pPr>
      <w:r>
        <w:t xml:space="preserve">Odland, M. C., M. J. Goodwin, B. V. Smithers, M. D. Hurteau, and M. P. North. 2021.</w:t>
      </w:r>
      <w:r>
        <w:t xml:space="preserve"> </w:t>
      </w:r>
      <w:r>
        <w:t xml:space="preserve">“Plant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 </w:t>
      </w:r>
      <w:r>
        <w:t xml:space="preserve">495 (September): 119361.</w:t>
      </w:r>
      <w:r>
        <w:t xml:space="preserve"> </w:t>
      </w:r>
      <w:hyperlink r:id="rId130">
        <w:r>
          <w:rPr>
            <w:rStyle w:val="Hyperlink"/>
          </w:rPr>
          <w:t xml:space="preserve">https://doi.org/10.1016/j.foreco.2021.119361</w:t>
        </w:r>
      </w:hyperlink>
      <w:r>
        <w:t xml:space="preserve">.</w:t>
      </w:r>
    </w:p>
    <w:bookmarkEnd w:id="131"/>
    <w:bookmarkStart w:id="133" w:name="ref-parksWarmerDrierFire2020"/>
    <w:p>
      <w:pPr>
        <w:pStyle w:val="Bibliography"/>
      </w:pPr>
      <w:r>
        <w:t xml:space="preserve">Parks, S. A., and J. T. Abatzoglou. 2020.</w:t>
      </w:r>
      <w:r>
        <w:t xml:space="preserve"> </w:t>
      </w:r>
      <w:r>
        <w:t xml:space="preserve">“Warmer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 </w:t>
      </w:r>
      <w:r>
        <w:t xml:space="preserve">47 (22).</w:t>
      </w:r>
      <w:r>
        <w:t xml:space="preserve"> </w:t>
      </w:r>
      <w:hyperlink r:id="rId132">
        <w:r>
          <w:rPr>
            <w:rStyle w:val="Hyperlink"/>
          </w:rPr>
          <w:t xml:space="preserve">https://doi.org/10.1029/2020GL089858</w:t>
        </w:r>
      </w:hyperlink>
      <w:r>
        <w:t xml:space="preserve">.</w:t>
      </w:r>
    </w:p>
    <w:bookmarkEnd w:id="133"/>
    <w:bookmarkStart w:id="135" w:name="ref-saffordNaturalRangeVariation2017"/>
    <w:p>
      <w:pPr>
        <w:pStyle w:val="Bibliography"/>
      </w:pPr>
      <w:r>
        <w:t xml:space="preserve">Safford, Hugh D., and Jens T. Stevens. 2017.</w:t>
      </w:r>
      <w:r>
        <w:t xml:space="preserve"> </w:t>
      </w:r>
      <w:r>
        <w:t xml:space="preserve">“Natural Range of Variation for Yellow Pine and Mixed-Conifer Forests in the</w:t>
      </w:r>
      <w:r>
        <w:t xml:space="preserve"> </w:t>
      </w:r>
      <w:r>
        <w:t xml:space="preserve">Sierra Nevada</w:t>
      </w:r>
      <w:r>
        <w:t xml:space="preserve">, Southern</w:t>
      </w:r>
      <w:r>
        <w:t xml:space="preserve"> </w:t>
      </w:r>
      <w:r>
        <w:t xml:space="preserve">Cascades</w:t>
      </w:r>
      <w:r>
        <w:t xml:space="preserve">, and</w:t>
      </w:r>
      <w:r>
        <w:t xml:space="preserve"> </w:t>
      </w:r>
      <w:r>
        <w:t xml:space="preserve">Modoc</w:t>
      </w:r>
      <w:r>
        <w:t xml:space="preserve"> </w:t>
      </w:r>
      <w:r>
        <w:t xml:space="preserve">and</w:t>
      </w:r>
      <w:r>
        <w:t xml:space="preserve"> </w:t>
      </w:r>
      <w:r>
        <w:t xml:space="preserve">Inyo National Forests</w:t>
      </w:r>
      <w:r>
        <w:t xml:space="preserve">,</w:t>
      </w:r>
      <w:r>
        <w:t xml:space="preserve"> </w:t>
      </w:r>
      <w:r>
        <w:t xml:space="preserve">California</w:t>
      </w:r>
      <w:r>
        <w:t xml:space="preserve">,</w:t>
      </w:r>
      <w:r>
        <w:t xml:space="preserve"> </w:t>
      </w:r>
      <w:r>
        <w:t xml:space="preserve">USA</w:t>
      </w:r>
      <w:r>
        <w:t xml:space="preserve">.”</w:t>
      </w:r>
      <w:r>
        <w:t xml:space="preserve"> </w:t>
      </w:r>
      <w:r>
        <w:t xml:space="preserve">PSW-GTR-256. Albany, CA: U.S. Department of Agriculture, Forest Service, Pacific Southwest Research Station.</w:t>
      </w:r>
      <w:r>
        <w:t xml:space="preserve"> </w:t>
      </w:r>
      <w:hyperlink r:id="rId134">
        <w:r>
          <w:rPr>
            <w:rStyle w:val="Hyperlink"/>
          </w:rPr>
          <w:t xml:space="preserve">https://doi.org/10.2737/PSW-GTR-256</w:t>
        </w:r>
      </w:hyperlink>
      <w:r>
        <w:t xml:space="preserve">.</w:t>
      </w:r>
    </w:p>
    <w:bookmarkEnd w:id="135"/>
    <w:bookmarkStart w:id="136" w:name="X967046730ee9c75b5734d4dc777df7f364d8685"/>
    <w:p>
      <w:pPr>
        <w:pStyle w:val="Bibliography"/>
      </w:pPr>
      <w:r>
        <w:t xml:space="preserve">Schütz, Jean-Philippe. 1999.</w:t>
      </w:r>
      <w:r>
        <w:t xml:space="preserve"> </w:t>
      </w:r>
      <w:r>
        <w:t xml:space="preserve">“Close-to-Nature Silviculture: Is This Concept Compatible with Species Diversity?”</w:t>
      </w:r>
      <w:r>
        <w:t xml:space="preserve"> </w:t>
      </w:r>
      <w:r>
        <w:rPr>
          <w:iCs/>
          <w:i/>
        </w:rPr>
        <w:t xml:space="preserve">Forestry</w:t>
      </w:r>
      <w:r>
        <w:t xml:space="preserve"> </w:t>
      </w:r>
      <w:r>
        <w:t xml:space="preserve">72 (4): 359–66.</w:t>
      </w:r>
    </w:p>
    <w:bookmarkEnd w:id="136"/>
    <w:bookmarkStart w:id="138" w:name="ref-schutzSilviculturalToolsDevelop2002"/>
    <w:p>
      <w:pPr>
        <w:pStyle w:val="Bibliography"/>
      </w:pPr>
      <w:r>
        <w:t xml:space="preserve">———. 2002.</w:t>
      </w:r>
      <w:r>
        <w:t xml:space="preserve"> </w:t>
      </w:r>
      <w:r>
        <w:t xml:space="preserve">“Silvicultural Tools to Develop Irregular and Diverse Forest Structures.”</w:t>
      </w:r>
      <w:r>
        <w:t xml:space="preserve"> </w:t>
      </w:r>
      <w:r>
        <w:rPr>
          <w:iCs/>
          <w:i/>
        </w:rPr>
        <w:t xml:space="preserve">Forestry: An International Journal of Forest Research</w:t>
      </w:r>
      <w:r>
        <w:t xml:space="preserve"> </w:t>
      </w:r>
      <w:r>
        <w:t xml:space="preserve">75 (4): 329–37.</w:t>
      </w:r>
      <w:r>
        <w:t xml:space="preserve"> </w:t>
      </w:r>
      <w:hyperlink r:id="rId137">
        <w:r>
          <w:rPr>
            <w:rStyle w:val="Hyperlink"/>
          </w:rPr>
          <w:t xml:space="preserve">https://doi.org/10.1093/forestry/75.4.329</w:t>
        </w:r>
      </w:hyperlink>
      <w:r>
        <w:t xml:space="preserve">.</w:t>
      </w:r>
    </w:p>
    <w:bookmarkEnd w:id="138"/>
    <w:bookmarkStart w:id="139" w:name="ref-schwilkNationalFireFire2009"/>
    <w:p>
      <w:pPr>
        <w:pStyle w:val="Bibliography"/>
      </w:pPr>
      <w:r>
        <w:t xml:space="preserve">Schwilk, Dylan W., Jon E. Keeley, Eric E. Knapp, James McIver, John D. Bailey, Christopher J. Fettig, Carl E. Fiedler, Richy J. Harrod, Jason J. Moghaddas, and Kenneth W. Outcalt. 2009.</w:t>
      </w:r>
      <w:r>
        <w:t xml:space="preserve"> </w:t>
      </w:r>
      <w:r>
        <w:t xml:space="preserve">“The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 </w:t>
      </w:r>
      <w:r>
        <w:t xml:space="preserve">19 (2): 285–304.</w:t>
      </w:r>
    </w:p>
    <w:bookmarkEnd w:id="139"/>
    <w:bookmarkStart w:id="141" w:name="ref-stephensFuelTreatmentLongevity2012"/>
    <w:p>
      <w:pPr>
        <w:pStyle w:val="Bibliography"/>
      </w:pPr>
      <w:r>
        <w:t xml:space="preserve">Stephens, Scott L., Brandon M. Collins, and Gary Roller. 2012.</w:t>
      </w:r>
      <w:r>
        <w:t xml:space="preserve"> </w:t>
      </w:r>
      <w:r>
        <w:t xml:space="preserve">“Fuel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 </w:t>
      </w:r>
      <w:r>
        <w:t xml:space="preserve">285 (December): 204–12.</w:t>
      </w:r>
      <w:r>
        <w:t xml:space="preserve"> </w:t>
      </w:r>
      <w:hyperlink r:id="rId140">
        <w:r>
          <w:rPr>
            <w:rStyle w:val="Hyperlink"/>
          </w:rPr>
          <w:t xml:space="preserve">https://doi.org/10.1016/j.foreco.2012.08.030</w:t>
        </w:r>
      </w:hyperlink>
      <w:r>
        <w:t xml:space="preserve">.</w:t>
      </w:r>
    </w:p>
    <w:bookmarkEnd w:id="141"/>
    <w:bookmarkStart w:id="143" w:name="ref-stephensFireTreatmentEffects2009"/>
    <w:p>
      <w:pPr>
        <w:pStyle w:val="Bibliography"/>
      </w:pPr>
      <w:r>
        <w:t xml:space="preserve">Stephens, Scott L., Jason J. Moghaddas, Carl Edminster, Carl E. Fiedler, Sally Haase, Michael Harrington, Jon E. Keeley, Eric E. Knapp, James D. McIver, and Kerry Metlen. 2009.</w:t>
      </w:r>
      <w:r>
        <w:t xml:space="preserve"> </w:t>
      </w:r>
      <w:r>
        <w:t xml:space="preserve">“Fire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 </w:t>
      </w:r>
      <w:r>
        <w:t xml:space="preserve">19 (2): 305–20.</w:t>
      </w:r>
      <w:r>
        <w:t xml:space="preserve"> </w:t>
      </w:r>
      <w:hyperlink r:id="rId142">
        <w:r>
          <w:rPr>
            <w:rStyle w:val="Hyperlink"/>
          </w:rPr>
          <w:t xml:space="preserve">https://esajournals.onlinelibrary.wiley.com/doi/full/10.1890/07-1755.1</w:t>
        </w:r>
      </w:hyperlink>
      <w:r>
        <w:t xml:space="preserve">.</w:t>
      </w:r>
    </w:p>
    <w:bookmarkEnd w:id="143"/>
    <w:bookmarkStart w:id="144" w:name="ref-stuartRedwoodFireEcology1985"/>
    <w:p>
      <w:pPr>
        <w:pStyle w:val="Bibliography"/>
      </w:pPr>
      <w:r>
        <w:t xml:space="preserve">Stuart, John. 1985.</w:t>
      </w:r>
      <w:r>
        <w:t xml:space="preserve"> </w:t>
      </w:r>
      <w:r>
        <w:t xml:space="preserve">“Redwood Fire Ecology: Final Report Submitted to</w:t>
      </w:r>
      <w:r>
        <w:t xml:space="preserve"> </w:t>
      </w:r>
      <w:r>
        <w:t xml:space="preserve">California Department</w:t>
      </w:r>
      <w:r>
        <w:t xml:space="preserve"> </w:t>
      </w:r>
      <w:r>
        <w:t xml:space="preserve">of</w:t>
      </w:r>
      <w:r>
        <w:t xml:space="preserve"> </w:t>
      </w:r>
      <w:r>
        <w:t xml:space="preserve">Parks</w:t>
      </w:r>
      <w:r>
        <w:t xml:space="preserve"> </w:t>
      </w:r>
      <w:r>
        <w:t xml:space="preserve">and</w:t>
      </w:r>
      <w:r>
        <w:t xml:space="preserve"> </w:t>
      </w:r>
      <w:r>
        <w:t xml:space="preserve">Recreation</w:t>
      </w:r>
      <w:r>
        <w:t xml:space="preserve">.”</w:t>
      </w:r>
      <w:r>
        <w:t xml:space="preserve"> </w:t>
      </w:r>
      <w:r>
        <w:t xml:space="preserve">Forestry Department, Humboldt State University.</w:t>
      </w:r>
    </w:p>
    <w:bookmarkEnd w:id="144"/>
    <w:bookmarkStart w:id="146" w:name="ref-vanpeltEmergentCrownsLightuse2016"/>
    <w:p>
      <w:pPr>
        <w:pStyle w:val="Bibliography"/>
      </w:pPr>
      <w:r>
        <w:t xml:space="preserve">Van Pelt, Robert, Stephen C. Sillett, William A. Kruse, James A. Freund, and Russell D. Kramer. 2016.</w:t>
      </w:r>
      <w:r>
        <w:t xml:space="preserve"> </w:t>
      </w:r>
      <w:r>
        <w:t xml:space="preserve">“Emergent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 </w:t>
      </w:r>
      <w:r>
        <w:t xml:space="preserve">375 (September): 279–308.</w:t>
      </w:r>
      <w:r>
        <w:t xml:space="preserve"> </w:t>
      </w:r>
      <w:hyperlink r:id="rId145">
        <w:r>
          <w:rPr>
            <w:rStyle w:val="Hyperlink"/>
          </w:rPr>
          <w:t xml:space="preserve">https://doi.org/10.1016/j.foreco.2016.05.018</w:t>
        </w:r>
      </w:hyperlink>
      <w:r>
        <w:t xml:space="preserve">.</w:t>
      </w:r>
    </w:p>
    <w:bookmarkEnd w:id="146"/>
    <w:bookmarkStart w:id="147" w:name="ref-varnerEnigmaticFireRegime2017"/>
    <w:p>
      <w:pPr>
        <w:pStyle w:val="Bibliography"/>
      </w:pPr>
      <w:r>
        <w:t xml:space="preserve">Varner, J. Morgan, and Erik S. Jules. 2017.</w:t>
      </w:r>
      <w:r>
        <w:t xml:space="preserve"> </w:t>
      </w:r>
      <w:r>
        <w:t xml:space="preserve">“The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 </w:t>
      </w:r>
      <w:r>
        <w:t xml:space="preserve">258: 15–18.</w:t>
      </w:r>
    </w:p>
    <w:bookmarkEnd w:id="147"/>
    <w:bookmarkStart w:id="149" w:name="Xe4c33cd27862f1a273f5ee92394e7273e555926"/>
    <w:p>
      <w:pPr>
        <w:pStyle w:val="Bibliography"/>
      </w:pPr>
      <w:r>
        <w:t xml:space="preserve">Vilà-Vilardell, Lena, Miquel De Cáceres, Míriam Piqué, and Pere Casals. 2023.</w:t>
      </w:r>
      <w:r>
        <w:t xml:space="preserve"> </w:t>
      </w:r>
      <w:r>
        <w:t xml:space="preserve">“Prescribed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 </w:t>
      </w:r>
      <w:r>
        <w:t xml:space="preserve">527 (January): 120602.</w:t>
      </w:r>
      <w:r>
        <w:t xml:space="preserve"> </w:t>
      </w:r>
      <w:hyperlink r:id="rId148">
        <w:r>
          <w:rPr>
            <w:rStyle w:val="Hyperlink"/>
          </w:rPr>
          <w:t xml:space="preserve">https://doi.org/10.1016/j.foreco.2022.120602</w:t>
        </w:r>
      </w:hyperlink>
      <w:r>
        <w:t xml:space="preserve">.</w:t>
      </w:r>
    </w:p>
    <w:bookmarkEnd w:id="149"/>
    <w:bookmarkStart w:id="151" w:name="ref-webbWhiskeySpringsLongterm2012"/>
    <w:p>
      <w:pPr>
        <w:pStyle w:val="Bibliography"/>
      </w:pPr>
      <w:r>
        <w:t xml:space="preserve">Webb, Lynn A., James L. Lindquist, Erik Wahl, and Andrew Hubb. 2012.</w:t>
      </w:r>
      <w:r>
        <w:t xml:space="preserve"> </w:t>
      </w:r>
      <w:r>
        <w:t xml:space="preserve">“Whiskey Springs Long-Term Coast Redwood Density Management; Final Growth, Sprout, and Yield Results.”</w:t>
      </w:r>
      <w:r>
        <w:t xml:space="preserve"> </w:t>
      </w:r>
      <w:r>
        <w:t xml:space="preserve">In</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 238:571–81. Albany, CA: Pacific Southwest Research Station, Forest Service, U.S. Department of Agriculture.</w:t>
      </w:r>
      <w:r>
        <w:t xml:space="preserve"> </w:t>
      </w:r>
      <w:hyperlink r:id="rId150">
        <w:r>
          <w:rPr>
            <w:rStyle w:val="Hyperlink"/>
          </w:rPr>
          <w:t xml:space="preserve">https://www.fs.usda.gov/research/treesearch/41828</w:t>
        </w:r>
      </w:hyperlink>
      <w:r>
        <w:t xml:space="preserve">.</w:t>
      </w:r>
    </w:p>
    <w:bookmarkEnd w:id="151"/>
    <w:bookmarkStart w:id="153" w:name="ref-westerlingIncreasingWesternUS2016"/>
    <w:p>
      <w:pPr>
        <w:pStyle w:val="Bibliography"/>
      </w:pPr>
      <w:r>
        <w:t xml:space="preserve">Westerling, Anthony LeRoy. 2016.</w:t>
      </w:r>
      <w:r>
        <w:t xml:space="preserve"> </w:t>
      </w:r>
      <w:r>
        <w:t xml:space="preserve">“Increasing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 </w:t>
      </w:r>
      <w:r>
        <w:t xml:space="preserve">371 (1696): 20150178.</w:t>
      </w:r>
      <w:r>
        <w:t xml:space="preserve"> </w:t>
      </w:r>
      <w:hyperlink r:id="rId152">
        <w:r>
          <w:rPr>
            <w:rStyle w:val="Hyperlink"/>
          </w:rPr>
          <w:t xml:space="preserve">https://doi.org/10.1098/rstb.2015.0178</w:t>
        </w:r>
      </w:hyperlink>
      <w:r>
        <w:t xml:space="preserve">.</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103" Target="https://academic.oup.com/jof/article-abstract/83/8/494/4647048" TargetMode="External" /><Relationship Type="http://schemas.openxmlformats.org/officeDocument/2006/relationships/hyperlink" Id="rId118" Target="https://doi.org/10.1002/ece3.3737" TargetMode="External" /><Relationship Type="http://schemas.openxmlformats.org/officeDocument/2006/relationships/hyperlink" Id="rId85" Target="https://doi.org/10.1007/s11056-018-9636-6" TargetMode="External" /><Relationship Type="http://schemas.openxmlformats.org/officeDocument/2006/relationships/hyperlink" Id="rId122" Target="https://doi.org/10.1016/S0378-1127(00)00698-8" TargetMode="External" /><Relationship Type="http://schemas.openxmlformats.org/officeDocument/2006/relationships/hyperlink" Id="rId128" Target="https://doi.org/10.1016/j.foreco.2007.03.062" TargetMode="External" /><Relationship Type="http://schemas.openxmlformats.org/officeDocument/2006/relationships/hyperlink" Id="rId110" Target="https://doi.org/10.1016/j.foreco.2009.07.008" TargetMode="External" /><Relationship Type="http://schemas.openxmlformats.org/officeDocument/2006/relationships/hyperlink" Id="rId140" Target="https://doi.org/10.1016/j.foreco.2012.08.030" TargetMode="External" /><Relationship Type="http://schemas.openxmlformats.org/officeDocument/2006/relationships/hyperlink" Id="rId145" Target="https://doi.org/10.1016/j.foreco.2016.05.018" TargetMode="External" /><Relationship Type="http://schemas.openxmlformats.org/officeDocument/2006/relationships/hyperlink" Id="rId130" Target="https://doi.org/10.1016/j.foreco.2021.119361" TargetMode="External" /><Relationship Type="http://schemas.openxmlformats.org/officeDocument/2006/relationships/hyperlink" Id="rId116" Target="https://doi.org/10.1016/j.foreco.2022.120236" TargetMode="External" /><Relationship Type="http://schemas.openxmlformats.org/officeDocument/2006/relationships/hyperlink" Id="rId88" Target="https://doi.org/10.1016/j.foreco.2022.120353" TargetMode="External" /><Relationship Type="http://schemas.openxmlformats.org/officeDocument/2006/relationships/hyperlink" Id="rId148" Target="https://doi.org/10.1016/j.foreco.2022.120602" TargetMode="External" /><Relationship Type="http://schemas.openxmlformats.org/officeDocument/2006/relationships/hyperlink" Id="rId132" Target="https://doi.org/10.1029/2020GL089858" TargetMode="External" /><Relationship Type="http://schemas.openxmlformats.org/officeDocument/2006/relationships/hyperlink" Id="rId137" Target="https://doi.org/10.1093/forestry/75.4.329" TargetMode="External" /><Relationship Type="http://schemas.openxmlformats.org/officeDocument/2006/relationships/hyperlink" Id="rId124" Target="https://doi.org/10.1093/forestry/75.4.339" TargetMode="External" /><Relationship Type="http://schemas.openxmlformats.org/officeDocument/2006/relationships/hyperlink" Id="rId108" Target="https://doi.org/10.1093/jof/38.9.729" TargetMode="External" /><Relationship Type="http://schemas.openxmlformats.org/officeDocument/2006/relationships/hyperlink" Id="rId120" Target="https://doi.org/10.1093/jof/96.7.4a" TargetMode="External" /><Relationship Type="http://schemas.openxmlformats.org/officeDocument/2006/relationships/hyperlink" Id="rId152" Target="https://doi.org/10.1098/rstb.2015.0178" TargetMode="External" /><Relationship Type="http://schemas.openxmlformats.org/officeDocument/2006/relationships/hyperlink" Id="rId83" Target="https://doi.org/10.1139/X06-271" TargetMode="External" /><Relationship Type="http://schemas.openxmlformats.org/officeDocument/2006/relationships/hyperlink" Id="rId105" Target="https://doi.org/10.1139/X08-003" TargetMode="External" /><Relationship Type="http://schemas.openxmlformats.org/officeDocument/2006/relationships/hyperlink" Id="rId90" Target="https://doi.org/10.1139/cjfr-2022-0214" TargetMode="External" /><Relationship Type="http://schemas.openxmlformats.org/officeDocument/2006/relationships/hyperlink" Id="rId93" Target="https://doi.org/10.1139/x93-143" TargetMode="External" /><Relationship Type="http://schemas.openxmlformats.org/officeDocument/2006/relationships/hyperlink" Id="rId81" Target="https://doi.org/10.1186/s13717-019-0181-9" TargetMode="External" /><Relationship Type="http://schemas.openxmlformats.org/officeDocument/2006/relationships/hyperlink" Id="rId134" Target="https://doi.org/10.2737/PSW-GTR-256" TargetMode="External" /><Relationship Type="http://schemas.openxmlformats.org/officeDocument/2006/relationships/hyperlink" Id="rId112" Target="https://doi.org/10.2737/RMRS-RP-103" TargetMode="External" /><Relationship Type="http://schemas.openxmlformats.org/officeDocument/2006/relationships/hyperlink" Id="rId126" Target="https://doi.org/10.3390/f8050144" TargetMode="External" /><Relationship Type="http://schemas.openxmlformats.org/officeDocument/2006/relationships/hyperlink" Id="rId114" Target="https://doi.org/10.5558/tfc78397-3" TargetMode="External" /><Relationship Type="http://schemas.openxmlformats.org/officeDocument/2006/relationships/hyperlink" Id="rId142" Target="https://esajournals.onlinelibrary.wiley.com/doi/full/10.1890/07-1755.1" TargetMode="External" /><Relationship Type="http://schemas.openxmlformats.org/officeDocument/2006/relationships/hyperlink" Id="rId96" Target="https://scholarworks.calstate.edu/concern/theses/ws859j014" TargetMode="External" /><Relationship Type="http://schemas.openxmlformats.org/officeDocument/2006/relationships/hyperlink" Id="rId99" Target="https://www.elibrary.ru/item.asp?id=7397149" TargetMode="External" /><Relationship Type="http://schemas.openxmlformats.org/officeDocument/2006/relationships/hyperlink" Id="rId101" Target="https://www.frontiersin.org/articles/10.3389/ffgc.2020.00078" TargetMode="External" /><Relationship Type="http://schemas.openxmlformats.org/officeDocument/2006/relationships/hyperlink" Id="rId150" Target="https://www.fs.usda.gov/research/treesearch/41828" TargetMode="External" /></Relationships>
</file>

<file path=word/_rels/footnotes.xml.rels><?xml version="1.0" encoding="UTF-8"?><Relationships xmlns="http://schemas.openxmlformats.org/package/2006/relationships"><Relationship Type="http://schemas.openxmlformats.org/officeDocument/2006/relationships/hyperlink" Id="rId103" Target="https://academic.oup.com/jof/article-abstract/83/8/494/4647048" TargetMode="External" /><Relationship Type="http://schemas.openxmlformats.org/officeDocument/2006/relationships/hyperlink" Id="rId118" Target="https://doi.org/10.1002/ece3.3737" TargetMode="External" /><Relationship Type="http://schemas.openxmlformats.org/officeDocument/2006/relationships/hyperlink" Id="rId85" Target="https://doi.org/10.1007/s11056-018-9636-6" TargetMode="External" /><Relationship Type="http://schemas.openxmlformats.org/officeDocument/2006/relationships/hyperlink" Id="rId122" Target="https://doi.org/10.1016/S0378-1127(00)00698-8" TargetMode="External" /><Relationship Type="http://schemas.openxmlformats.org/officeDocument/2006/relationships/hyperlink" Id="rId128" Target="https://doi.org/10.1016/j.foreco.2007.03.062" TargetMode="External" /><Relationship Type="http://schemas.openxmlformats.org/officeDocument/2006/relationships/hyperlink" Id="rId110" Target="https://doi.org/10.1016/j.foreco.2009.07.008" TargetMode="External" /><Relationship Type="http://schemas.openxmlformats.org/officeDocument/2006/relationships/hyperlink" Id="rId140" Target="https://doi.org/10.1016/j.foreco.2012.08.030" TargetMode="External" /><Relationship Type="http://schemas.openxmlformats.org/officeDocument/2006/relationships/hyperlink" Id="rId145" Target="https://doi.org/10.1016/j.foreco.2016.05.018" TargetMode="External" /><Relationship Type="http://schemas.openxmlformats.org/officeDocument/2006/relationships/hyperlink" Id="rId130" Target="https://doi.org/10.1016/j.foreco.2021.119361" TargetMode="External" /><Relationship Type="http://schemas.openxmlformats.org/officeDocument/2006/relationships/hyperlink" Id="rId116" Target="https://doi.org/10.1016/j.foreco.2022.120236" TargetMode="External" /><Relationship Type="http://schemas.openxmlformats.org/officeDocument/2006/relationships/hyperlink" Id="rId88" Target="https://doi.org/10.1016/j.foreco.2022.120353" TargetMode="External" /><Relationship Type="http://schemas.openxmlformats.org/officeDocument/2006/relationships/hyperlink" Id="rId148" Target="https://doi.org/10.1016/j.foreco.2022.120602" TargetMode="External" /><Relationship Type="http://schemas.openxmlformats.org/officeDocument/2006/relationships/hyperlink" Id="rId132" Target="https://doi.org/10.1029/2020GL089858" TargetMode="External" /><Relationship Type="http://schemas.openxmlformats.org/officeDocument/2006/relationships/hyperlink" Id="rId137" Target="https://doi.org/10.1093/forestry/75.4.329" TargetMode="External" /><Relationship Type="http://schemas.openxmlformats.org/officeDocument/2006/relationships/hyperlink" Id="rId124" Target="https://doi.org/10.1093/forestry/75.4.339" TargetMode="External" /><Relationship Type="http://schemas.openxmlformats.org/officeDocument/2006/relationships/hyperlink" Id="rId108" Target="https://doi.org/10.1093/jof/38.9.729" TargetMode="External" /><Relationship Type="http://schemas.openxmlformats.org/officeDocument/2006/relationships/hyperlink" Id="rId120" Target="https://doi.org/10.1093/jof/96.7.4a" TargetMode="External" /><Relationship Type="http://schemas.openxmlformats.org/officeDocument/2006/relationships/hyperlink" Id="rId152" Target="https://doi.org/10.1098/rstb.2015.0178" TargetMode="External" /><Relationship Type="http://schemas.openxmlformats.org/officeDocument/2006/relationships/hyperlink" Id="rId83" Target="https://doi.org/10.1139/X06-271" TargetMode="External" /><Relationship Type="http://schemas.openxmlformats.org/officeDocument/2006/relationships/hyperlink" Id="rId105" Target="https://doi.org/10.1139/X08-003" TargetMode="External" /><Relationship Type="http://schemas.openxmlformats.org/officeDocument/2006/relationships/hyperlink" Id="rId90" Target="https://doi.org/10.1139/cjfr-2022-0214" TargetMode="External" /><Relationship Type="http://schemas.openxmlformats.org/officeDocument/2006/relationships/hyperlink" Id="rId93" Target="https://doi.org/10.1139/x93-143" TargetMode="External" /><Relationship Type="http://schemas.openxmlformats.org/officeDocument/2006/relationships/hyperlink" Id="rId81" Target="https://doi.org/10.1186/s13717-019-0181-9" TargetMode="External" /><Relationship Type="http://schemas.openxmlformats.org/officeDocument/2006/relationships/hyperlink" Id="rId134" Target="https://doi.org/10.2737/PSW-GTR-256" TargetMode="External" /><Relationship Type="http://schemas.openxmlformats.org/officeDocument/2006/relationships/hyperlink" Id="rId112" Target="https://doi.org/10.2737/RMRS-RP-103" TargetMode="External" /><Relationship Type="http://schemas.openxmlformats.org/officeDocument/2006/relationships/hyperlink" Id="rId126" Target="https://doi.org/10.3390/f8050144" TargetMode="External" /><Relationship Type="http://schemas.openxmlformats.org/officeDocument/2006/relationships/hyperlink" Id="rId114" Target="https://doi.org/10.5558/tfc78397-3" TargetMode="External" /><Relationship Type="http://schemas.openxmlformats.org/officeDocument/2006/relationships/hyperlink" Id="rId142" Target="https://esajournals.onlinelibrary.wiley.com/doi/full/10.1890/07-1755.1" TargetMode="External" /><Relationship Type="http://schemas.openxmlformats.org/officeDocument/2006/relationships/hyperlink" Id="rId96" Target="https://scholarworks.calstate.edu/concern/theses/ws859j014" TargetMode="External" /><Relationship Type="http://schemas.openxmlformats.org/officeDocument/2006/relationships/hyperlink" Id="rId99" Target="https://www.elibrary.ru/item.asp?id=7397149" TargetMode="External" /><Relationship Type="http://schemas.openxmlformats.org/officeDocument/2006/relationships/hyperlink" Id="rId101" Target="https://www.frontiersin.org/articles/10.3389/ffgc.2020.00078" TargetMode="External" /><Relationship Type="http://schemas.openxmlformats.org/officeDocument/2006/relationships/hyperlink" Id="rId150" Target="https://www.fs.usda.gov/research/treesearch/418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2024-04-26T05:29:47Z</dcterms:created>
  <dcterms:modified xsi:type="dcterms:W3CDTF">2024-04-26T05:29:47Z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2024-02-13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