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62.png" ContentType="image/png"/>
  <Override PartName="/word/media/rId56.png" ContentType="image/png"/>
  <Override PartName="/word/media/rId26.png" ContentType="image/png"/>
  <Override PartName="/word/media/rId39.png" ContentType="image/png"/>
  <Override PartName="/word/media/rId43.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Regeneration</w:t>
      </w:r>
      <w:r>
        <w:t xml:space="preserve"> </w:t>
      </w:r>
      <w:r>
        <w:t xml:space="preserve">and</w:t>
      </w:r>
      <w:r>
        <w:t xml:space="preserve"> </w:t>
      </w:r>
      <w:r>
        <w:t xml:space="preserve">Fuel</w:t>
      </w:r>
      <w:r>
        <w:t xml:space="preserve"> </w:t>
      </w:r>
      <w:r>
        <w:t xml:space="preserve">Loads</w:t>
      </w:r>
      <w:r>
        <w:t xml:space="preserve"> </w:t>
      </w:r>
      <w:r>
        <w:t xml:space="preserve">with</w:t>
      </w:r>
      <w:r>
        <w:t xml:space="preserve"> </w:t>
      </w:r>
      <w:r>
        <w:t xml:space="preserve">Varying</w:t>
      </w:r>
      <w:r>
        <w:t xml:space="preserve"> </w:t>
      </w:r>
      <w:r>
        <w:t xml:space="preserve">Overstory</w:t>
      </w:r>
      <w:r>
        <w:t xml:space="preserve"> </w:t>
      </w:r>
      <w:r>
        <w:t xml:space="preserve">Retention</w:t>
      </w:r>
      <w:r>
        <w:t xml:space="preserve"> </w:t>
      </w:r>
      <w:r>
        <w:t xml:space="preserve">in</w:t>
      </w:r>
      <w:r>
        <w:t xml:space="preserve"> </w:t>
      </w:r>
      <w:r>
        <w:t xml:space="preserve">Redwood</w:t>
      </w:r>
      <w:r>
        <w:t xml:space="preserve"> </w:t>
      </w:r>
      <w:r>
        <w:t xml:space="preserve">Stands</w:t>
      </w:r>
      <w:r>
        <w:t xml:space="preserve"> </w:t>
      </w:r>
      <w:r>
        <w:t xml:space="preserve">10</w:t>
      </w:r>
      <w:r>
        <w:t xml:space="preserve"> </w:t>
      </w:r>
      <w:r>
        <w:t xml:space="preserve">Years</w:t>
      </w:r>
      <w:r>
        <w:t xml:space="preserve"> </w:t>
      </w:r>
      <w:r>
        <w:t xml:space="preserve">after</w:t>
      </w:r>
      <w:r>
        <w:t xml:space="preserve"> </w:t>
      </w:r>
      <w:r>
        <w:t xml:space="preserve">Transformation</w:t>
      </w:r>
      <w:r>
        <w:t xml:space="preserve"> </w:t>
      </w:r>
      <w:r>
        <w:t xml:space="preserve">to</w:t>
      </w:r>
      <w:r>
        <w:t xml:space="preserve"> </w:t>
      </w:r>
      <w:r>
        <w:t xml:space="preserve">Multiaged</w:t>
      </w:r>
      <w:r>
        <w:t xml:space="preserve"> </w:t>
      </w:r>
      <w:r>
        <w:t xml:space="preserve">Management</w:t>
      </w:r>
    </w:p>
    <w:p>
      <w:pPr>
        <w:pStyle w:val="Author"/>
      </w:pPr>
      <w:r>
        <w:t xml:space="preserve">Judson</w:t>
      </w:r>
      <w:r>
        <w:t xml:space="preserve"> </w:t>
      </w:r>
      <w:r>
        <w:t xml:space="preserve">Fisher</w:t>
      </w:r>
    </w:p>
    <w:p>
      <w:pPr>
        <w:pStyle w:val="Date"/>
      </w:pPr>
      <w:r>
        <w:t xml:space="preserve">2024-02-13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"1-4" \h \z \u</w:instrText>
            <w:fldChar w:fldCharType="separate"/>
            <w:fldChar w:fldCharType="end"/>
          </w:r>
        </w:p>
      </w:sdtContent>
    </w:sdt>
    <w:bookmarkStart w:id="22" w:name="preface"/>
    <w:p>
      <w:pPr>
        <w:pStyle w:val="Heading1"/>
      </w:pPr>
      <w:r>
        <w:t xml:space="preserve">Preface</w:t>
      </w:r>
    </w:p>
    <w:bookmarkStart w:id="20" w:name="abstract"/>
    <w:p>
      <w:pPr>
        <w:pStyle w:val="Heading2"/>
      </w:pPr>
      <w:r>
        <w:t xml:space="preserve">Abstract</w:t>
      </w:r>
    </w:p>
    <w:p>
      <w:pPr>
        <w:pStyle w:val="FirstParagraph"/>
      </w:pPr>
      <w:r>
        <w:t xml:space="preserve">This is an analysis of the 10-year re-measure of the Redwood multi-age</w:t>
      </w:r>
      <w:r>
        <w:t xml:space="preserve"> </w:t>
      </w:r>
      <w:r>
        <w:t xml:space="preserve">experiment which is maintained by Dr. Pascal Berrill, professor of silviculture</w:t>
      </w:r>
      <w:r>
        <w:t xml:space="preserve"> </w:t>
      </w:r>
      <w:r>
        <w:t xml:space="preserve">at Cal-Poly Humboldt, in conjunction with the Jackson Demonstration State Forest</w:t>
      </w:r>
      <w:r>
        <w:t xml:space="preserve"> </w:t>
      </w:r>
      <w:r>
        <w:t xml:space="preserve">in Mendocino County, California. The multi-aged experiment explores the</w:t>
      </w:r>
      <w:r>
        <w:t xml:space="preserve"> </w:t>
      </w:r>
      <w:r>
        <w:t xml:space="preserve">regeneration response of several species following different harvesting</w:t>
      </w:r>
      <w:r>
        <w:t xml:space="preserve"> </w:t>
      </w:r>
      <w:r>
        <w:t xml:space="preserve">techniques including group selection, aggregated retention, and high/low</w:t>
      </w:r>
      <w:r>
        <w:t xml:space="preserve"> </w:t>
      </w:r>
      <w:r>
        <w:t xml:space="preserve">dispersed retention. The 10-year re-measure data includes surface fuel</w:t>
      </w:r>
      <w:r>
        <w:t xml:space="preserve"> </w:t>
      </w:r>
      <w:r>
        <w:t xml:space="preserve">characterization and regeneration density.</w:t>
      </w:r>
    </w:p>
    <w:bookmarkEnd w:id="20"/>
    <w:bookmarkStart w:id="21" w:name="acknowledgements"/>
    <w:p>
      <w:pPr>
        <w:pStyle w:val="Heading2"/>
      </w:pPr>
      <w:r>
        <w:t xml:space="preserve">Acknowledgements</w:t>
      </w:r>
    </w:p>
    <w:p>
      <w:pPr>
        <w:pStyle w:val="FirstParagraph"/>
      </w:pPr>
      <w:r>
        <w:t xml:space="preserve">I would like to thank my advisor Pascal Berrill and my other committee memebers,</w:t>
      </w:r>
      <w:r>
        <w:t xml:space="preserve"> </w:t>
      </w:r>
      <w:r>
        <w:t xml:space="preserve">Jeffrey Kane, and Rosanna Overholser.</w:t>
      </w:r>
    </w:p>
    <w:bookmarkEnd w:id="21"/>
    <w:bookmarkEnd w:id="22"/>
    <w:bookmarkStart w:id="23" w:name="introduction"/>
    <w:p>
      <w:pPr>
        <w:pStyle w:val="Heading1"/>
      </w:pPr>
      <w:r>
        <w:t xml:space="preserve">1. Introduction</w:t>
      </w:r>
    </w:p>
    <w:p>
      <w:pPr>
        <w:pStyle w:val="FirstParagraph"/>
      </w:pPr>
      <w:r>
        <w:t xml:space="preserve">This will be the introduction.</w:t>
      </w:r>
    </w:p>
    <w:bookmarkEnd w:id="23"/>
    <w:bookmarkStart w:id="24" w:name="methods"/>
    <w:p>
      <w:pPr>
        <w:pStyle w:val="Heading1"/>
      </w:pPr>
      <w:r>
        <w:t xml:space="preserve">2. Methods</w:t>
      </w:r>
    </w:p>
    <w:p>
      <w:pPr>
        <w:pStyle w:val="FirstParagraph"/>
      </w:pPr>
      <w:r>
        <w:t xml:space="preserve">This will be the methods.</w:t>
      </w:r>
    </w:p>
    <w:bookmarkEnd w:id="24"/>
    <w:bookmarkStart w:id="68" w:name="results"/>
    <w:p>
      <w:pPr>
        <w:pStyle w:val="Heading1"/>
      </w:pPr>
      <w:r>
        <w:t xml:space="preserve">3. Results</w:t>
      </w:r>
    </w:p>
    <w:bookmarkStart w:id="37" w:name="regeneration-composition"/>
    <w:p>
      <w:pPr>
        <w:pStyle w:val="Heading2"/>
      </w:pPr>
      <w:r>
        <w:t xml:space="preserve">3.1 Regeneration composition</w:t>
      </w:r>
    </w:p>
    <w:bookmarkStart w:id="30" w:name="basal-area"/>
    <w:p>
      <w:pPr>
        <w:pStyle w:val="Heading3"/>
      </w:pPr>
      <w:r>
        <w:t xml:space="preserve">3.1.1 Basal area</w:t>
      </w:r>
    </w:p>
    <w:p>
      <w:pPr>
        <w:pStyle w:val="FirstParagraph"/>
      </w:pPr>
      <w:r>
        <w:t xml:space="preserve">Composition of regeneration in terms of total basal area of each species was</w:t>
      </w:r>
      <w:r>
        <w:t xml:space="preserve"> </w:t>
      </w:r>
      <w:r>
        <w:t xml:space="preserve">modeled as a gamma distribution with a log link with fixed effects for</w:t>
      </w:r>
      <w:r>
        <w:t xml:space="preserve"> </w:t>
      </w:r>
      <w:r>
        <w:t xml:space="preserve">treatment, species, and their interaction and random effects for sites and</w:t>
      </w:r>
      <w:r>
        <w:t xml:space="preserve"> </w:t>
      </w:r>
      <w:r>
        <w:t xml:space="preserve">macro-plots. Dispersion was modeled separately as a function of species, using a</w:t>
      </w:r>
      <w:r>
        <w:t xml:space="preserve"> </w:t>
      </w:r>
      <w:r>
        <w:t xml:space="preserve">log link and the rate of zeros was modeled using the logit link, for each</w:t>
      </w:r>
      <w:r>
        <w:t xml:space="preserve"> </w:t>
      </w:r>
      <w:r>
        <w:t xml:space="preserve">species (</w:t>
      </w:r>
      <w:hyperlink w:anchor="lst-mod-regen-ba">
        <w:r>
          <w:rPr>
            <w:rStyle w:val="Hyperlink"/>
          </w:rPr>
          <w:t xml:space="preserve">Listing 3.1</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5" w:name="lst-mod-regen-ba"/>
          <w:p>
            <w:pPr>
              <w:jc w:val="center"/>
            </w:pPr>
            <w:pPr>
              <w:jc w:val="start"/>
              <w:spacing w:before="200"/>
              <w:pStyle w:val="ImageCaption"/>
            </w:pPr>
            <w:r>
              <w:t xml:space="preserve">Listing 3.1</w:t>
            </w:r>
          </w:p>
          <w:p>
            <w:pPr>
              <w:pStyle w:val="SourceCode"/>
              <w:jc w:val="center"/>
            </w:pPr>
            <w:r>
              <w:rPr>
                <w:rStyle w:val="VerbatimChar"/>
              </w:rPr>
              <w:t xml:space="preserve">Family: Gamma (log) </w:t>
            </w:r>
            <w:r>
              <w:br/>
            </w:r>
            <w:r>
              <w:rPr>
                <w:rStyle w:val="VerbatimChar"/>
              </w:rPr>
              <w:t xml:space="preserve">Conditional: ba_ha ~ treat * spp + (1 | site/treat)  </w:t>
            </w:r>
            <w:r>
              <w:br/>
            </w:r>
            <w:r>
              <w:rPr>
                <w:rStyle w:val="VerbatimChar"/>
              </w:rPr>
              <w:t xml:space="preserve">Dispersion: ~spp (log) </w:t>
            </w:r>
            <w:r>
              <w:br/>
            </w:r>
            <w:r>
              <w:rPr>
                <w:rStyle w:val="VerbatimChar"/>
              </w:rPr>
              <w:t xml:space="preserve">Hurdle: ~spp (logit) </w:t>
            </w:r>
          </w:p>
          <w:bookmarkEnd w:id="25"/>
        </w:tc>
      </w:tr>
    </w:tbl>
    <w:p>
      <w:pPr>
        <w:pStyle w:val="FirstParagraph"/>
      </w:pPr>
      <w:r>
        <w:t xml:space="preserve">According to this model, we would expect five times as much basal area of other</w:t>
      </w:r>
      <w:r>
        <w:t xml:space="preserve"> </w:t>
      </w:r>
      <w:r>
        <w:t xml:space="preserve">species in LD compared to HA (p = 0.034), and interestingly, six times more other species</w:t>
      </w:r>
      <w:r>
        <w:t xml:space="preserve"> </w:t>
      </w:r>
      <w:r>
        <w:t xml:space="preserve">basal area in HD compared to HA (p = 0.014,</w:t>
      </w:r>
      <w:r>
        <w:t xml:space="preserve"> </w:t>
      </w:r>
      <w:hyperlink w:anchor="fig-mod-regen-ba">
        <w:r>
          <w:rPr>
            <w:rStyle w:val="Hyperlink"/>
          </w:rPr>
          <w:t xml:space="preserve">Figure 3.1</w:t>
        </w:r>
      </w:hyperlink>
      <w:r>
        <w:t xml:space="preserve">).</w:t>
      </w:r>
    </w:p>
    <w:p>
      <w:pPr>
        <w:pStyle w:val="BodyText"/>
      </w:pPr>
      <w:r>
        <w:t xml:space="preserve">We expect 5 times more redwood regeneration basal area in the GS treatment</w:t>
      </w:r>
      <w:r>
        <w:t xml:space="preserve"> </w:t>
      </w:r>
      <w:r>
        <w:t xml:space="preserve">compared to HA (p = 0.03), and 7 times compared to HD (p = 0.02).</w:t>
      </w:r>
    </w:p>
    <w:p>
      <w:pPr>
        <w:pStyle w:val="BodyText"/>
      </w:pPr>
      <w:r>
        <w:t xml:space="preserve">For tanoak, we expect about twice as much regeneration basal area in the GS</w:t>
      </w:r>
      <w:r>
        <w:t xml:space="preserve"> </w:t>
      </w:r>
      <w:r>
        <w:t xml:space="preserve">treatment compared to HA (p = 0.03).</w:t>
      </w:r>
    </w:p>
    <w:tbl>
      <w:tblPr>
        <w:tblStyle w:val="Table"/>
        <w:tblW w:type="pct" w:w="5000"/>
        <w:tblLook w:firstRow="0" w:lastRow="0" w:firstColumn="0" w:lastColumn="0" w:noHBand="0" w:noVBand="0" w:val="0000"/>
        <w:jc w:val="start"/>
        <w:tblLayout w:type="fixed"/>
      </w:tblPr>
      <w:tblGrid>
        <w:gridCol w:w="7920"/>
      </w:tblGrid>
      <w:tr>
        <w:tc>
          <w:tcPr/>
          <w:bookmarkStart w:id="29" w:name="fig-mod-regen-ba"/>
          <w:p>
            <w:pPr>
              <w:pStyle w:val="Compact"/>
              <w:jc w:val="center"/>
            </w:pPr>
            <w:r>
              <w:drawing>
                <wp:inline>
                  <wp:extent cx="4620126" cy="3696101"/>
                  <wp:effectExtent b="0" l="0" r="0" t="0"/>
                  <wp:docPr descr="" title="" id="27" name="Picture"/>
                  <a:graphic>
                    <a:graphicData uri="http://schemas.openxmlformats.org/drawingml/2006/picture">
                      <pic:pic>
                        <pic:nvPicPr>
                          <pic:cNvPr descr="thesis/results_files/figure-docx/fig-mod-regen-ba-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3.1: Basal area (m</w:t>
            </w:r>
            <w:r>
              <w:rPr>
                <w:vertAlign w:val="superscript"/>
              </w:rPr>
              <w:t xml:space="preserve">2</w:t>
            </w:r>
            <w:r>
              <w:t xml:space="preserve"> </w:t>
            </w:r>
            <w:r>
              <w:t xml:space="preserve">ha</w:t>
            </w:r>
            <w:r>
              <w:rPr>
                <w:vertAlign w:val="superscript"/>
              </w:rPr>
              <w:t xml:space="preserve">-1</w:t>
            </w:r>
            <w:r>
              <w:t xml:space="preserve">) modeled at the vegetation plot level for four harvest treatments and four species classes (n = 16). Gray bars represent the 95% confidence interval, black dots—the mean, and non-overlapping blue arrows signify statistical significance (α = 0.05).</w:t>
            </w:r>
          </w:p>
          <w:bookmarkEnd w:id="29"/>
        </w:tc>
      </w:tr>
    </w:tbl>
    <w:bookmarkEnd w:id="30"/>
    <w:bookmarkStart w:id="36" w:name="douglas-fir-counts"/>
    <w:p>
      <w:pPr>
        <w:pStyle w:val="Heading3"/>
      </w:pPr>
      <w:r>
        <w:t xml:space="preserve">3.1.2 Douglas-fir counts</w:t>
      </w:r>
    </w:p>
    <w:p>
      <w:pPr>
        <w:pStyle w:val="FirstParagraph"/>
      </w:pPr>
      <w:r>
        <w:t xml:space="preserve">Counts of regenerating Douglas-fir seedlings per vegetation plot (n = 16) were</w:t>
      </w:r>
      <w:r>
        <w:t xml:space="preserve"> </w:t>
      </w:r>
      <w:r>
        <w:t xml:space="preserve">analyzed for differences between harvest treatments using a negative binomial</w:t>
      </w:r>
      <w:r>
        <w:t xml:space="preserve"> </w:t>
      </w:r>
      <w:r>
        <w:t xml:space="preserve">response with a log link, fixed effects for treatment, random effects for site</w:t>
      </w:r>
      <w:r>
        <w:t xml:space="preserve"> </w:t>
      </w:r>
      <w:r>
        <w:t xml:space="preserve">and macro-plot (</w:t>
      </w:r>
      <w:hyperlink w:anchor="lst-mod-df-counts">
        <w:r>
          <w:rPr>
            <w:rStyle w:val="Hyperlink"/>
          </w:rPr>
          <w:t xml:space="preserve">Listing 3.2</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1" w:name="lst-mod-df-counts"/>
          <w:p>
            <w:pPr>
              <w:jc w:val="center"/>
            </w:pPr>
            <w:pPr>
              <w:jc w:val="start"/>
              <w:spacing w:before="200"/>
              <w:pStyle w:val="ImageCaption"/>
            </w:pPr>
            <w:r>
              <w:t xml:space="preserve">Listing 3.2</w:t>
            </w:r>
          </w:p>
          <w:p>
            <w:pPr>
              <w:pStyle w:val="SourceCode"/>
              <w:jc w:val="center"/>
            </w:pPr>
            <w:r>
              <w:rPr>
                <w:rStyle w:val="VerbatimChar"/>
              </w:rPr>
              <w:t xml:space="preserve">Family: nbinom1 (log) </w:t>
            </w:r>
            <w:r>
              <w:br/>
            </w:r>
            <w:r>
              <w:rPr>
                <w:rStyle w:val="VerbatimChar"/>
              </w:rPr>
              <w:t xml:space="preserve">Conditional: n ~ treat + (1 | site/treat)  </w:t>
            </w:r>
          </w:p>
          <w:bookmarkEnd w:id="31"/>
        </w:tc>
      </w:tr>
    </w:tbl>
    <w:p>
      <w:pPr>
        <w:pStyle w:val="FirstParagraph"/>
      </w:pPr>
      <w:r>
        <w:t xml:space="preserve">This model for Douglas-fir counts does not result in any statistically</w:t>
      </w:r>
      <w:r>
        <w:t xml:space="preserve"> </w:t>
      </w:r>
      <w:r>
        <w:t xml:space="preserve">significant differences between treatments. Generally, we expect about 2</w:t>
      </w:r>
      <w:r>
        <w:t xml:space="preserve"> </w:t>
      </w:r>
      <w:r>
        <w:t xml:space="preserve">seedlings per 4-meter-radius plot, or about 413 seedlings per hectare</w:t>
      </w:r>
      <w:r>
        <w:t xml:space="preserve"> </w:t>
      </w:r>
      <w:r>
        <w:t xml:space="preserve">(</w:t>
      </w:r>
      <w:hyperlink w:anchor="fig-mod-df-counts">
        <w:r>
          <w:rPr>
            <w:rStyle w:val="Hyperlink"/>
          </w:rPr>
          <w:t xml:space="preserve">Figure 3.2</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5" w:name="fig-mod-df-counts"/>
          <w:p>
            <w:pPr>
              <w:pStyle w:val="Compact"/>
              <w:jc w:val="center"/>
            </w:pPr>
            <w:r>
              <w:drawing>
                <wp:inline>
                  <wp:extent cx="4620126" cy="3696101"/>
                  <wp:effectExtent b="0" l="0" r="0" t="0"/>
                  <wp:docPr descr="" title="" id="33" name="Picture"/>
                  <a:graphic>
                    <a:graphicData uri="http://schemas.openxmlformats.org/drawingml/2006/picture">
                      <pic:pic>
                        <pic:nvPicPr>
                          <pic:cNvPr descr="thesis/results_files/figure-docx/fig-mod-df-counts-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3.2: Vegetation plot level counts of regenerating Douglas-fir seedlings in four harvest treatments 10 years after harvest (n = 16). Results have been scaled to stems per hectare (4-meter radium plots).</w:t>
            </w:r>
          </w:p>
          <w:bookmarkEnd w:id="35"/>
        </w:tc>
      </w:tr>
    </w:tbl>
    <w:bookmarkEnd w:id="36"/>
    <w:bookmarkEnd w:id="37"/>
    <w:bookmarkStart w:id="54" w:name="sprout-heights"/>
    <w:p>
      <w:pPr>
        <w:pStyle w:val="Heading2"/>
      </w:pPr>
      <w:r>
        <w:t xml:space="preserve">3.2 Sprout heights</w:t>
      </w:r>
    </w:p>
    <w:bookmarkStart w:id="47" w:name="height-increment"/>
    <w:p>
      <w:pPr>
        <w:pStyle w:val="Heading3"/>
      </w:pPr>
      <w:r>
        <w:t xml:space="preserve">3.2.1 Height increment</w:t>
      </w:r>
    </w:p>
    <w:p>
      <w:pPr>
        <w:pStyle w:val="FirstParagraph"/>
      </w:pPr>
      <w:r>
        <w:t xml:space="preserve">The selected height increment model used a normal response distribution on the</w:t>
      </w:r>
      <w:r>
        <w:t xml:space="preserve"> </w:t>
      </w:r>
      <w:r>
        <w:t xml:space="preserve">identity link. It included treatment, growth period, species, and the</w:t>
      </w:r>
      <w:r>
        <w:t xml:space="preserve"> </w:t>
      </w:r>
      <w:r>
        <w:t xml:space="preserve">interaction of species and growth period as fixed effects. A random intercept</w:t>
      </w:r>
      <w:r>
        <w:t xml:space="preserve"> </w:t>
      </w:r>
      <w:r>
        <w:t xml:space="preserve">was included for tree (multiple observations) and macro-plot, and a random slope</w:t>
      </w:r>
      <w:r>
        <w:t xml:space="preserve"> </w:t>
      </w:r>
      <w:r>
        <w:t xml:space="preserve">was included for species. The dispersion parameter for the response was modeled</w:t>
      </w:r>
      <w:r>
        <w:t xml:space="preserve"> </w:t>
      </w:r>
      <w:r>
        <w:t xml:space="preserve">(with a log link) as a function of treatment, growth period, species and all</w:t>
      </w:r>
      <w:r>
        <w:t xml:space="preserve"> </w:t>
      </w:r>
      <w:r>
        <w:t xml:space="preserve">three-way interactions (</w:t>
      </w:r>
      <w:hyperlink w:anchor="lst-mod-sprout-ht-inc">
        <w:r>
          <w:rPr>
            <w:rStyle w:val="Hyperlink"/>
          </w:rPr>
          <w:t xml:space="preserve">Listing 3.3</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8" w:name="lst-mod-sprout-ht-inc"/>
          <w:p>
            <w:pPr>
              <w:jc w:val="center"/>
            </w:pPr>
            <w:pPr>
              <w:jc w:val="start"/>
              <w:spacing w:before="200"/>
              <w:pStyle w:val="ImageCaption"/>
            </w:pPr>
            <w:r>
              <w:t xml:space="preserve">Listing 3.3</w:t>
            </w:r>
          </w:p>
          <w:p>
            <w:pPr>
              <w:pStyle w:val="SourceCode"/>
              <w:jc w:val="center"/>
            </w:pPr>
            <w:r>
              <w:rPr>
                <w:rStyle w:val="VerbatimChar"/>
              </w:rPr>
              <w:t xml:space="preserve">Family: gaussian (identity) </w:t>
            </w:r>
            <w:r>
              <w:br/>
            </w:r>
            <w:r>
              <w:rPr>
                <w:rStyle w:val="VerbatimChar"/>
              </w:rPr>
              <w:t xml:space="preserve">Conditional: ht_inc ~ treat + year * spp + (1 | tree) + (0 + spp | plot)  </w:t>
            </w:r>
            <w:r>
              <w:br/>
            </w:r>
            <w:r>
              <w:rPr>
                <w:rStyle w:val="VerbatimChar"/>
              </w:rPr>
              <w:t xml:space="preserve">Dispersion: ~spp * year * treat (log) </w:t>
            </w:r>
          </w:p>
          <w:bookmarkEnd w:id="38"/>
        </w:tc>
      </w:tr>
    </w:tbl>
    <w:p>
      <w:pPr>
        <w:pStyle w:val="FirstParagraph"/>
      </w:pPr>
      <w:r>
        <w:t xml:space="preserve">The model selected based on AIC lacks a treatment x species interaction,</w:t>
      </w:r>
      <w:r>
        <w:t xml:space="preserve"> </w:t>
      </w:r>
      <w:r>
        <w:t xml:space="preserve">suggesting that there is not evidence that treatments affected species</w:t>
      </w:r>
      <w:r>
        <w:t xml:space="preserve"> </w:t>
      </w:r>
      <w:r>
        <w:t xml:space="preserve">differentially. It also lacks a treatment x year interaction. This means that</w:t>
      </w:r>
      <w:r>
        <w:t xml:space="preserve"> </w:t>
      </w:r>
      <w:r>
        <w:t xml:space="preserve">there was not enough evidence to support that treatment was related to changes</w:t>
      </w:r>
      <w:r>
        <w:t xml:space="preserve"> </w:t>
      </w:r>
      <w:r>
        <w:t xml:space="preserve">in growth rate.</w:t>
      </w:r>
    </w:p>
    <w:p>
      <w:pPr>
        <w:pStyle w:val="BodyText"/>
      </w:pPr>
      <w:r>
        <w:t xml:space="preserve">The presence of treatment in the model (0.001 ≤ p &lt; 0.03) suggests that</w:t>
      </w:r>
      <w:r>
        <w:t xml:space="preserve"> </w:t>
      </w:r>
      <w:r>
        <w:t xml:space="preserve">the levels of treatment were associated with different growth rates across</w:t>
      </w:r>
      <w:r>
        <w:t xml:space="preserve"> </w:t>
      </w:r>
      <w:r>
        <w:t xml:space="preserve">species and years. And the species x year interaction (p &lt; 0.001) suggests</w:t>
      </w:r>
      <w:r>
        <w:t xml:space="preserve"> </w:t>
      </w:r>
      <w:r>
        <w:t xml:space="preserve">changes in growth rates are different for redwood and tanoak</w:t>
      </w:r>
      <w:r>
        <w:t xml:space="preserve"> </w:t>
      </w:r>
      <w:r>
        <w:t xml:space="preserve">(</w:t>
      </w:r>
      <w:hyperlink w:anchor="fig-mod-sprout-ht-inc-treat">
        <w:r>
          <w:rPr>
            <w:rStyle w:val="Hyperlink"/>
          </w:rPr>
          <w:t xml:space="preserve">Figure 3.3</w:t>
        </w:r>
      </w:hyperlink>
      <w:r>
        <w:t xml:space="preserve">).</w:t>
      </w:r>
    </w:p>
    <w:p>
      <w:pPr>
        <w:pStyle w:val="BodyText"/>
      </w:pPr>
      <w:r>
        <w:t xml:space="preserve">Averaging over growth periods, treatment specific height increments for redwood</w:t>
      </w:r>
      <w:r>
        <w:t xml:space="preserve"> </w:t>
      </w:r>
      <w:r>
        <w:t xml:space="preserve">ranged from 0.66 to 0.86 m yr</w:t>
      </w:r>
      <w:r>
        <w:rPr>
          <w:vertAlign w:val="superscript"/>
        </w:rPr>
        <w:t xml:space="preserve">-1</w:t>
      </w:r>
      <w:r>
        <w:t xml:space="preserve">, and for tanoak, from 0.29 to 0.49, with the</w:t>
      </w:r>
      <w:r>
        <w:t xml:space="preserve"> </w:t>
      </w:r>
      <w:r>
        <w:t xml:space="preserve">slowest growth in the HD treatment and the fastest in the GS treatment. Height</w:t>
      </w:r>
      <w:r>
        <w:t xml:space="preserve"> </w:t>
      </w:r>
      <w:r>
        <w:t xml:space="preserve">increment was greater in the GS treatment than the HA and HD treatments by about</w:t>
      </w:r>
      <w:r>
        <w:t xml:space="preserve"> </w:t>
      </w:r>
      <w:r>
        <w:t xml:space="preserve">0.19 m yr</w:t>
      </w:r>
      <w:r>
        <w:rPr>
          <w:vertAlign w:val="superscript"/>
        </w:rPr>
        <w:t xml:space="preserve">-1</w:t>
      </w:r>
      <w:r>
        <w:t xml:space="preserve"> </w:t>
      </w:r>
      <w:r>
        <w:t xml:space="preserve">(p &lt; 0.001). The LD treatment was intermediate, but not</w:t>
      </w:r>
      <w:r>
        <w:t xml:space="preserve"> </w:t>
      </w:r>
      <w:r>
        <w:t xml:space="preserve">statistically distinguishable from the other treatments (0.13 &lt; p &lt; 0.28).</w:t>
      </w:r>
    </w:p>
    <w:tbl>
      <w:tblPr>
        <w:tblStyle w:val="Table"/>
        <w:tblW w:type="pct" w:w="5000"/>
        <w:tblLook w:firstRow="0" w:lastRow="0" w:firstColumn="0" w:lastColumn="0" w:noHBand="0" w:noVBand="0" w:val="0000"/>
        <w:jc w:val="start"/>
        <w:tblLayout w:type="fixed"/>
      </w:tblPr>
      <w:tblGrid>
        <w:gridCol w:w="7920"/>
      </w:tblGrid>
      <w:tr>
        <w:tc>
          <w:tcPr/>
          <w:bookmarkStart w:id="42" w:name="fig-mod-sprout-ht-inc-treat"/>
          <w:p>
            <w:pPr>
              <w:pStyle w:val="Compact"/>
              <w:jc w:val="center"/>
            </w:pPr>
            <w:r>
              <w:drawing>
                <wp:inline>
                  <wp:extent cx="4620126" cy="3696101"/>
                  <wp:effectExtent b="0" l="0" r="0" t="0"/>
                  <wp:docPr descr="" title="" id="40" name="Picture"/>
                  <a:graphic>
                    <a:graphicData uri="http://schemas.openxmlformats.org/drawingml/2006/picture">
                      <pic:pic>
                        <pic:nvPicPr>
                          <pic:cNvPr descr="thesis/results_files/figure-docx/fig-mod-sprout-ht-inc-treat-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3.3: Estimated marginal means for the effect of harvest treatment on redwood and tanoak sprout height increment, averaged over two growth periods, ten years after harvest. Gray bars represent confidence intervals and statistical significance (α = 0.05) is indicated by non-overlapping blue arrows.</w:t>
            </w:r>
          </w:p>
          <w:bookmarkEnd w:id="42"/>
        </w:tc>
      </w:tr>
    </w:tbl>
    <w:p>
      <w:pPr>
        <w:pStyle w:val="BodyText"/>
      </w:pPr>
      <w:r>
        <w:t xml:space="preserve">Redwood growth slowed from 0.80 to 0.67 m yr</w:t>
      </w:r>
      <w:r>
        <w:rPr>
          <w:vertAlign w:val="superscript"/>
        </w:rPr>
        <w:t xml:space="preserve">-1</w:t>
      </w:r>
      <w:r>
        <w:t xml:space="preserve"> </w:t>
      </w:r>
      <w:r>
        <w:t xml:space="preserve">in the second period and tanoak</w:t>
      </w:r>
      <w:r>
        <w:t xml:space="preserve"> </w:t>
      </w:r>
      <w:r>
        <w:t xml:space="preserve">slowed from 0.39 to 0.34 m yr</w:t>
      </w:r>
      <w:r>
        <w:rPr>
          <w:vertAlign w:val="superscript"/>
        </w:rPr>
        <w:t xml:space="preserve">-1</w:t>
      </w:r>
      <w:r>
        <w:t xml:space="preserve">.</w:t>
      </w:r>
    </w:p>
    <w:p>
      <w:pPr>
        <w:pStyle w:val="BodyText"/>
      </w:pPr>
      <w:r>
        <w:t xml:space="preserve">Redwood grew faster than tanoak, but slowed down more relative to it in the</w:t>
      </w:r>
      <w:r>
        <w:t xml:space="preserve"> </w:t>
      </w:r>
      <w:r>
        <w:t xml:space="preserve">second period. Height increment for redwood was 0.42 m yr</w:t>
      </w:r>
      <w:r>
        <w:rPr>
          <w:vertAlign w:val="superscript"/>
        </w:rPr>
        <w:t xml:space="preserve">-1</w:t>
      </w:r>
      <w:r>
        <w:t xml:space="preserve"> </w:t>
      </w:r>
      <w:r>
        <w:t xml:space="preserve">greater in the</w:t>
      </w:r>
      <w:r>
        <w:t xml:space="preserve"> </w:t>
      </w:r>
      <w:r>
        <w:t xml:space="preserve">first period and 0.33 m yr</w:t>
      </w:r>
      <w:r>
        <w:rPr>
          <w:vertAlign w:val="superscript"/>
        </w:rPr>
        <w:t xml:space="preserve">-1</w:t>
      </w:r>
      <w:r>
        <w:t xml:space="preserve"> </w:t>
      </w:r>
      <w:r>
        <w:t xml:space="preserve">greater in the second period than tanoak height</w:t>
      </w:r>
      <w:r>
        <w:t xml:space="preserve"> </w:t>
      </w:r>
      <w:r>
        <w:t xml:space="preserve">increment (</w:t>
      </w:r>
      <w:hyperlink w:anchor="fig-mod-sprout-ht-inc-year">
        <w:r>
          <w:rPr>
            <w:rStyle w:val="Hyperlink"/>
          </w:rPr>
          <w:t xml:space="preserve">Figure 3.4</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6" w:name="fig-mod-sprout-ht-inc-year"/>
          <w:p>
            <w:pPr>
              <w:pStyle w:val="Compact"/>
              <w:jc w:val="center"/>
            </w:pPr>
            <w:r>
              <w:drawing>
                <wp:inline>
                  <wp:extent cx="4620126" cy="3696101"/>
                  <wp:effectExtent b="0" l="0" r="0" t="0"/>
                  <wp:docPr descr="" title="" id="44" name="Picture"/>
                  <a:graphic>
                    <a:graphicData uri="http://schemas.openxmlformats.org/drawingml/2006/picture">
                      <pic:pic>
                        <pic:nvPicPr>
                          <pic:cNvPr descr="thesis/results_files/figure-docx/fig-mod-sprout-ht-inc-year-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3.4: Estimated marginal means for the effect of growth period on redwood and tanoak sprout height increment, averaged over four harvest treatments, from years 1 to 5, and years 5 to 10 after harvest, plotted alongside actual data. Gray bars represent confidence intervals and statistical significance (α = 0.05) is indicated by non-overlapping blue arrows.</w:t>
            </w:r>
          </w:p>
          <w:bookmarkEnd w:id="46"/>
        </w:tc>
      </w:tr>
    </w:tbl>
    <w:bookmarkEnd w:id="47"/>
    <w:bookmarkStart w:id="53" w:name="height-at-year-10"/>
    <w:p>
      <w:pPr>
        <w:pStyle w:val="Heading3"/>
      </w:pPr>
      <w:r>
        <w:t xml:space="preserve">3.2.2 Height at year 10</w:t>
      </w:r>
    </w:p>
    <w:p>
      <w:pPr>
        <w:pStyle w:val="FirstParagraph"/>
      </w:pPr>
      <w:r>
        <w:t xml:space="preserve">Sprout heights at year 10 were modeled with a normal response and a log link.</w:t>
      </w:r>
      <w:r>
        <w:t xml:space="preserve"> </w:t>
      </w:r>
      <w:r>
        <w:t xml:space="preserve">The best model included species and treatment, but no interactions in the fixed</w:t>
      </w:r>
      <w:r>
        <w:t xml:space="preserve"> </w:t>
      </w:r>
      <w:r>
        <w:t xml:space="preserve">effects. This suggests that treatments do not affect species differentially. It</w:t>
      </w:r>
      <w:r>
        <w:t xml:space="preserve"> </w:t>
      </w:r>
      <w:r>
        <w:t xml:space="preserve">also included a model for dispersion (log link) that had species, treatment, and</w:t>
      </w:r>
      <w:r>
        <w:t xml:space="preserve"> </w:t>
      </w:r>
      <w:r>
        <w:t xml:space="preserve">their interaction as predictors (</w:t>
      </w:r>
      <w:hyperlink w:anchor="lst-mod-sprout-ht-yr-10">
        <w:r>
          <w:rPr>
            <w:rStyle w:val="Hyperlink"/>
          </w:rPr>
          <w:t xml:space="preserve">Listing 3.4</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8" w:name="lst-mod-sprout-ht-yr-10"/>
          <w:p>
            <w:pPr>
              <w:jc w:val="center"/>
            </w:pPr>
            <w:pPr>
              <w:jc w:val="start"/>
              <w:spacing w:before="200"/>
              <w:pStyle w:val="ImageCaption"/>
            </w:pPr>
            <w:r>
              <w:t xml:space="preserve">Listing 3.4</w:t>
            </w:r>
          </w:p>
          <w:p>
            <w:pPr>
              <w:pStyle w:val="SourceCode"/>
              <w:jc w:val="center"/>
            </w:pPr>
            <w:r>
              <w:rPr>
                <w:rStyle w:val="VerbatimChar"/>
              </w:rPr>
              <w:t xml:space="preserve">Family: gaussian (log) </w:t>
            </w:r>
            <w:r>
              <w:br/>
            </w:r>
            <w:r>
              <w:rPr>
                <w:rStyle w:val="VerbatimChar"/>
              </w:rPr>
              <w:t xml:space="preserve">Conditional: ht ~ treat + spp + (0 + spp | plot)  </w:t>
            </w:r>
            <w:r>
              <w:br/>
            </w:r>
            <w:r>
              <w:rPr>
                <w:rStyle w:val="VerbatimChar"/>
              </w:rPr>
              <w:t xml:space="preserve">Dispersion: ~spp * treat (log) </w:t>
            </w:r>
          </w:p>
          <w:bookmarkEnd w:id="48"/>
        </w:tc>
      </w:tr>
    </w:tbl>
    <w:p>
      <w:pPr>
        <w:pStyle w:val="FirstParagraph"/>
      </w:pPr>
      <w:r>
        <w:t xml:space="preserve">Because the best model did not contain a species x treatment interaction,</w:t>
      </w:r>
      <w:r>
        <w:t xml:space="preserve"> </w:t>
      </w:r>
      <w:r>
        <w:t xml:space="preserve">comparisons between treatments is the same for both species. The GS treatment</w:t>
      </w:r>
      <w:r>
        <w:t xml:space="preserve"> </w:t>
      </w:r>
      <w:r>
        <w:t xml:space="preserve">resulted in greater heights in year 10 than the other treatments (0.001 &lt; p &lt;</w:t>
      </w:r>
      <w:r>
        <w:t xml:space="preserve"> </w:t>
      </w:r>
      <w:r>
        <w:t xml:space="preserve">0.04). Predicted mean height for redwood ranged from 10.29 m in the GS treatment</w:t>
      </w:r>
      <w:r>
        <w:t xml:space="preserve"> </w:t>
      </w:r>
      <w:r>
        <w:t xml:space="preserve">to 6.16 m in the HD treatment. For tanoak, predicted mean height ranged from</w:t>
      </w:r>
      <w:r>
        <w:t xml:space="preserve"> </w:t>
      </w:r>
      <w:r>
        <w:t xml:space="preserve">5.12 in the GS treatment to 3.04 in the HD treatment. Predicted mean heights</w:t>
      </w:r>
      <w:r>
        <w:t xml:space="preserve"> </w:t>
      </w:r>
      <w:r>
        <w:t xml:space="preserve">followed the pattern GS &gt; LD &gt; HA &gt; HD (</w:t>
      </w:r>
      <w:hyperlink w:anchor="fig-mod-sprout-ht-yr-10">
        <w:r>
          <w:rPr>
            <w:rStyle w:val="Hyperlink"/>
          </w:rPr>
          <w:t xml:space="preserve">Figure 3.5</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52" w:name="fig-mod-sprout-ht-yr-10"/>
          <w:p>
            <w:pPr>
              <w:pStyle w:val="Compact"/>
              <w:jc w:val="center"/>
            </w:pPr>
            <w:r>
              <w:drawing>
                <wp:inline>
                  <wp:extent cx="4620126" cy="3696101"/>
                  <wp:effectExtent b="0" l="0" r="0" t="0"/>
                  <wp:docPr descr="" title="" id="50" name="Picture"/>
                  <a:graphic>
                    <a:graphicData uri="http://schemas.openxmlformats.org/drawingml/2006/picture">
                      <pic:pic>
                        <pic:nvPicPr>
                          <pic:cNvPr descr="thesis/results_files/figure-docx/fig-mod-sprout-ht-yr-10-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3.5: Predicted mean height and 95% confidence intervals (gray bars) for redwood and tanoak stump sprouts 10 years after harvest using four different harvest treatments. Non-overlapping blue arrows indicate statistically significant differences between treatments within a species.</w:t>
            </w:r>
          </w:p>
          <w:bookmarkEnd w:id="52"/>
        </w:tc>
      </w:tr>
    </w:tbl>
    <w:bookmarkEnd w:id="53"/>
    <w:bookmarkEnd w:id="54"/>
    <w:bookmarkStart w:id="67" w:name="fuels"/>
    <w:p>
      <w:pPr>
        <w:pStyle w:val="Heading2"/>
      </w:pPr>
      <w:r>
        <w:t xml:space="preserve">3.3 Fuels</w:t>
      </w:r>
    </w:p>
    <w:bookmarkStart w:id="60" w:name="pre-pct"/>
    <w:p>
      <w:pPr>
        <w:pStyle w:val="Heading3"/>
      </w:pPr>
      <w:r>
        <w:t xml:space="preserve">3.3.1 Pre-pct</w:t>
      </w:r>
    </w:p>
    <w:p>
      <w:pPr>
        <w:pStyle w:val="FirstParagraph"/>
      </w:pPr>
      <w:r>
        <w:t xml:space="preserve">Gamma distributed, linear multi-level models, with a log link were used for all</w:t>
      </w:r>
      <w:r>
        <w:t xml:space="preserve"> </w:t>
      </w:r>
      <w:r>
        <w:t xml:space="preserve">six fuel class responses. Random intercepts were specified for three levels of</w:t>
      </w:r>
      <w:r>
        <w:t xml:space="preserve"> </w:t>
      </w:r>
      <w:r>
        <w:t xml:space="preserve">nesting, representing sites, treatment blocks, and transect corners. All models</w:t>
      </w:r>
      <w:r>
        <w:t xml:space="preserve"> </w:t>
      </w:r>
      <w:r>
        <w:t xml:space="preserve">except for the duff &amp; litter model included a hurdle model to account for</w:t>
      </w:r>
      <w:r>
        <w:t xml:space="preserve"> </w:t>
      </w:r>
      <w:r>
        <w:t xml:space="preserve">zero, which was modeled with a logit link. For the 10-hr fuel model, the hurdle</w:t>
      </w:r>
      <w:r>
        <w:t xml:space="preserve"> </w:t>
      </w:r>
      <w:r>
        <w:t xml:space="preserve">portion was modeled as a function of treatment, and for the others, it was</w:t>
      </w:r>
      <w:r>
        <w:t xml:space="preserve"> </w:t>
      </w:r>
      <w:r>
        <w:t xml:space="preserve">modeled as a single rate for all observations. The 10-hr fuel model also</w:t>
      </w:r>
      <w:r>
        <w:t xml:space="preserve"> </w:t>
      </w:r>
      <w:r>
        <w:t xml:space="preserve">included a dispersion model, which was modeled with a log link, using treatment</w:t>
      </w:r>
      <w:r>
        <w:t xml:space="preserve"> </w:t>
      </w:r>
      <w:r>
        <w:t xml:space="preserve">as a predictor (</w:t>
      </w:r>
      <w:hyperlink w:anchor="tbl-mod-fuel-pre-pct">
        <w:r>
          <w:rPr>
            <w:rStyle w:val="Hyperlink"/>
          </w:rPr>
          <w:t xml:space="preserve">Table 3.1</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55" w:name="tbl-mod-fuel-pre-pct"/>
          <w:p>
            <w:pPr>
              <w:jc w:val="center"/>
            </w:pPr>
            <w:pPr>
              <w:jc w:val="start"/>
              <w:spacing w:before="200"/>
              <w:pStyle w:val="ImageCaption"/>
            </w:pPr>
            <w:r>
              <w:t xml:space="preserve">Table 3.1: Model specifications for six fuel classes before pct.</w:t>
            </w:r>
          </w:p>
          <w:tbl>
            <w:tblPr>
              <w:tblStyle w:val="Table"/>
              <w:tblW w:type="pct" w:w="4835"/>
              <w:tblLook w:firstRow="1" w:lastRow="0" w:firstColumn="0" w:lastColumn="0" w:noHBand="0" w:noVBand="0" w:val="0020"/>
              <w:jc w:val="start"/>
              <w:tblLayout w:type="fixed"/>
            </w:tblPr>
            <w:tblGrid>
              <w:gridCol w:w="1047"/>
              <w:gridCol w:w="589"/>
              <w:gridCol w:w="458"/>
              <w:gridCol w:w="3207"/>
              <w:gridCol w:w="1243"/>
              <w:gridCol w:w="1112"/>
            </w:tblGrid>
            <w:tr>
              <w:trPr>
                <w:tblHeader w:val="true"/>
              </w:trPr>
              <w:tc>
                <w:tcPr/>
                <w:p>
                  <w:pPr>
                    <w:pStyle w:val="Compact"/>
                    <w:jc w:val="left"/>
                    <w:jc w:val="center"/>
                  </w:pPr>
                  <w:r>
                    <w:t xml:space="preserve">class</w:t>
                  </w:r>
                </w:p>
              </w:tc>
              <w:tc>
                <w:tcPr/>
                <w:p>
                  <w:pPr>
                    <w:pStyle w:val="Compact"/>
                    <w:jc w:val="left"/>
                    <w:jc w:val="center"/>
                  </w:pPr>
                  <w:r>
                    <w:t xml:space="preserve">Family</w:t>
                  </w:r>
                </w:p>
              </w:tc>
              <w:tc>
                <w:tcPr/>
                <w:p>
                  <w:pPr>
                    <w:pStyle w:val="Compact"/>
                    <w:jc w:val="left"/>
                    <w:jc w:val="center"/>
                  </w:pPr>
                  <w:r>
                    <w:t xml:space="preserve">Link</w:t>
                  </w:r>
                </w:p>
              </w:tc>
              <w:tc>
                <w:tcPr/>
                <w:p>
                  <w:pPr>
                    <w:pStyle w:val="Compact"/>
                    <w:jc w:val="left"/>
                    <w:jc w:val="center"/>
                  </w:pPr>
                  <w:r>
                    <w:t xml:space="preserve">Conditional</w:t>
                  </w:r>
                </w:p>
              </w:tc>
              <w:tc>
                <w:tcPr/>
                <w:p>
                  <w:pPr>
                    <w:pStyle w:val="Compact"/>
                    <w:jc w:val="left"/>
                    <w:jc w:val="center"/>
                  </w:pPr>
                  <w:r>
                    <w:t xml:space="preserve">Dispersion (log)</w:t>
                  </w:r>
                </w:p>
              </w:tc>
              <w:tc>
                <w:tcPr/>
                <w:p>
                  <w:pPr>
                    <w:pStyle w:val="Compact"/>
                    <w:jc w:val="left"/>
                    <w:jc w:val="center"/>
                  </w:pPr>
                  <w:r>
                    <w:t xml:space="preserve">Hurdle (logit)</w:t>
                  </w:r>
                </w:p>
              </w:tc>
            </w:tr>
            <w:tr>
              <w:tc>
                <w:tcPr/>
                <w:p>
                  <w:pPr>
                    <w:pStyle w:val="Compact"/>
                    <w:jc w:val="left"/>
                    <w:jc w:val="center"/>
                  </w:pPr>
                  <w:r>
                    <w:t xml:space="preserve">Duff &amp; Litter</w:t>
                  </w:r>
                </w:p>
              </w:tc>
              <w:tc>
                <w:tcPr/>
                <w:p>
                  <w:pPr>
                    <w:pStyle w:val="Compact"/>
                    <w:jc w:val="left"/>
                    <w:jc w:val="center"/>
                  </w:pPr>
                  <w:r>
                    <w:t xml:space="preserve">Gamma</w:t>
                  </w:r>
                </w:p>
              </w:tc>
              <w:tc>
                <w:tcPr/>
                <w:p>
                  <w:pPr>
                    <w:pStyle w:val="Compact"/>
                    <w:jc w:val="left"/>
                    <w:jc w:val="center"/>
                  </w:pPr>
                  <w:r>
                    <w:t xml:space="preserve">log</w:t>
                  </w:r>
                </w:p>
              </w:tc>
              <w:tc>
                <w:tcPr/>
                <w:p>
                  <w:pPr>
                    <w:pStyle w:val="Compact"/>
                    <w:jc w:val="left"/>
                    <w:jc w:val="center"/>
                  </w:pPr>
                  <w:r>
                    <w:t xml:space="preserve">load ~ treatment + (1 | site/treatment/corner)</w:t>
                  </w:r>
                </w:p>
              </w:tc>
              <w:tc>
                <w:tcPr/>
                <w:p>
                  <w:pPr>
                    <w:pStyle w:val="Compact"/>
                    <w:jc w:val="left"/>
                    <w:jc w:val="center"/>
                  </w:pPr>
                  <w:r>
                    <w:t xml:space="preserve">~1</w:t>
                  </w:r>
                </w:p>
              </w:tc>
              <w:tc>
                <w:tcPr/>
                <w:p>
                  <w:pPr>
                    <w:pStyle w:val="Compact"/>
                    <w:jc w:val="left"/>
                    <w:jc w:val="center"/>
                  </w:pPr>
                  <w:r>
                    <w:t xml:space="preserve">~0</w:t>
                  </w:r>
                </w:p>
              </w:tc>
            </w:tr>
            <w:tr>
              <w:tc>
                <w:tcPr/>
                <w:p>
                  <w:pPr>
                    <w:pStyle w:val="Compact"/>
                    <w:jc w:val="left"/>
                    <w:jc w:val="center"/>
                  </w:pPr>
                  <w:r>
                    <w:t xml:space="preserve">1-hr</w:t>
                  </w:r>
                </w:p>
              </w:tc>
              <w:tc>
                <w:tcPr/>
                <w:p>
                  <w:pPr>
                    <w:pStyle w:val="Compact"/>
                    <w:jc w:val="left"/>
                    <w:jc w:val="center"/>
                  </w:pPr>
                  <w:r>
                    <w:t xml:space="preserve">Gamma</w:t>
                  </w:r>
                </w:p>
              </w:tc>
              <w:tc>
                <w:tcPr/>
                <w:p>
                  <w:pPr>
                    <w:pStyle w:val="Compact"/>
                    <w:jc w:val="left"/>
                    <w:jc w:val="center"/>
                  </w:pPr>
                  <w:r>
                    <w:t xml:space="preserve">log</w:t>
                  </w:r>
                </w:p>
              </w:tc>
              <w:tc>
                <w:tcPr/>
                <w:p>
                  <w:pPr>
                    <w:pStyle w:val="Compact"/>
                    <w:jc w:val="left"/>
                    <w:jc w:val="center"/>
                  </w:pPr>
                  <w:r>
                    <w:t xml:space="preserve">load ~ treatment + (1 | site/treatment/corner)</w:t>
                  </w:r>
                </w:p>
              </w:tc>
              <w:tc>
                <w:tcPr/>
                <w:p>
                  <w:pPr>
                    <w:pStyle w:val="Compact"/>
                    <w:jc w:val="left"/>
                    <w:jc w:val="center"/>
                  </w:pPr>
                  <w:r>
                    <w:t xml:space="preserve">~1</w:t>
                  </w:r>
                </w:p>
              </w:tc>
              <w:tc>
                <w:tcPr/>
                <w:p>
                  <w:pPr>
                    <w:pStyle w:val="Compact"/>
                    <w:jc w:val="left"/>
                    <w:jc w:val="center"/>
                  </w:pPr>
                  <w:r>
                    <w:t xml:space="preserve">~1</w:t>
                  </w:r>
                </w:p>
              </w:tc>
            </w:tr>
            <w:tr>
              <w:tc>
                <w:tcPr/>
                <w:p>
                  <w:pPr>
                    <w:pStyle w:val="Compact"/>
                    <w:jc w:val="left"/>
                    <w:jc w:val="center"/>
                  </w:pPr>
                  <w:r>
                    <w:t xml:space="preserve">10-hr</w:t>
                  </w:r>
                </w:p>
              </w:tc>
              <w:tc>
                <w:tcPr/>
                <w:p>
                  <w:pPr>
                    <w:pStyle w:val="Compact"/>
                    <w:jc w:val="left"/>
                    <w:jc w:val="center"/>
                  </w:pPr>
                  <w:r>
                    <w:t xml:space="preserve">Gamma</w:t>
                  </w:r>
                </w:p>
              </w:tc>
              <w:tc>
                <w:tcPr/>
                <w:p>
                  <w:pPr>
                    <w:pStyle w:val="Compact"/>
                    <w:jc w:val="left"/>
                    <w:jc w:val="center"/>
                  </w:pPr>
                  <w:r>
                    <w:t xml:space="preserve">log</w:t>
                  </w:r>
                </w:p>
              </w:tc>
              <w:tc>
                <w:tcPr/>
                <w:p>
                  <w:pPr>
                    <w:pStyle w:val="Compact"/>
                    <w:jc w:val="left"/>
                    <w:jc w:val="center"/>
                  </w:pPr>
                  <w:r>
                    <w:t xml:space="preserve">load ~ treatment + (1 | site/treatment/corner)</w:t>
                  </w:r>
                </w:p>
              </w:tc>
              <w:tc>
                <w:tcPr/>
                <w:p>
                  <w:pPr>
                    <w:pStyle w:val="Compact"/>
                    <w:jc w:val="left"/>
                    <w:jc w:val="center"/>
                  </w:pPr>
                  <w:r>
                    <w:t xml:space="preserve">~treatment</w:t>
                  </w:r>
                </w:p>
              </w:tc>
              <w:tc>
                <w:tcPr/>
                <w:p>
                  <w:pPr>
                    <w:pStyle w:val="Compact"/>
                    <w:jc w:val="left"/>
                    <w:jc w:val="center"/>
                  </w:pPr>
                  <w:r>
                    <w:t xml:space="preserve">~treatment</w:t>
                  </w:r>
                </w:p>
              </w:tc>
            </w:tr>
            <w:tr>
              <w:tc>
                <w:tcPr/>
                <w:p>
                  <w:pPr>
                    <w:pStyle w:val="Compact"/>
                    <w:jc w:val="left"/>
                    <w:jc w:val="center"/>
                  </w:pPr>
                  <w:r>
                    <w:t xml:space="preserve">100-hr</w:t>
                  </w:r>
                </w:p>
              </w:tc>
              <w:tc>
                <w:tcPr/>
                <w:p>
                  <w:pPr>
                    <w:pStyle w:val="Compact"/>
                    <w:jc w:val="left"/>
                    <w:jc w:val="center"/>
                  </w:pPr>
                  <w:r>
                    <w:t xml:space="preserve">Gamma</w:t>
                  </w:r>
                </w:p>
              </w:tc>
              <w:tc>
                <w:tcPr/>
                <w:p>
                  <w:pPr>
                    <w:pStyle w:val="Compact"/>
                    <w:jc w:val="left"/>
                    <w:jc w:val="center"/>
                  </w:pPr>
                  <w:r>
                    <w:t xml:space="preserve">log</w:t>
                  </w:r>
                </w:p>
              </w:tc>
              <w:tc>
                <w:tcPr/>
                <w:p>
                  <w:pPr>
                    <w:pStyle w:val="Compact"/>
                    <w:jc w:val="left"/>
                    <w:jc w:val="center"/>
                  </w:pPr>
                  <w:r>
                    <w:t xml:space="preserve">load ~ treatment + (1 | site/treatment/corner)</w:t>
                  </w:r>
                </w:p>
              </w:tc>
              <w:tc>
                <w:tcPr/>
                <w:p>
                  <w:pPr>
                    <w:pStyle w:val="Compact"/>
                    <w:jc w:val="left"/>
                    <w:jc w:val="center"/>
                  </w:pPr>
                  <w:r>
                    <w:t xml:space="preserve">~1</w:t>
                  </w:r>
                </w:p>
              </w:tc>
              <w:tc>
                <w:tcPr/>
                <w:p>
                  <w:pPr>
                    <w:pStyle w:val="Compact"/>
                    <w:jc w:val="left"/>
                    <w:jc w:val="center"/>
                  </w:pPr>
                  <w:r>
                    <w:t xml:space="preserve">~1</w:t>
                  </w:r>
                </w:p>
              </w:tc>
            </w:tr>
            <w:tr>
              <w:tc>
                <w:tcPr/>
                <w:p>
                  <w:pPr>
                    <w:pStyle w:val="Compact"/>
                    <w:jc w:val="left"/>
                    <w:jc w:val="center"/>
                  </w:pPr>
                  <w:r>
                    <w:t xml:space="preserve">1,000-hr</w:t>
                  </w:r>
                </w:p>
              </w:tc>
              <w:tc>
                <w:tcPr/>
                <w:p>
                  <w:pPr>
                    <w:pStyle w:val="Compact"/>
                    <w:jc w:val="left"/>
                    <w:jc w:val="center"/>
                  </w:pPr>
                  <w:r>
                    <w:t xml:space="preserve">Gamma</w:t>
                  </w:r>
                </w:p>
              </w:tc>
              <w:tc>
                <w:tcPr/>
                <w:p>
                  <w:pPr>
                    <w:pStyle w:val="Compact"/>
                    <w:jc w:val="left"/>
                    <w:jc w:val="center"/>
                  </w:pPr>
                  <w:r>
                    <w:t xml:space="preserve">log</w:t>
                  </w:r>
                </w:p>
              </w:tc>
              <w:tc>
                <w:tcPr/>
                <w:p>
                  <w:pPr>
                    <w:pStyle w:val="Compact"/>
                    <w:jc w:val="left"/>
                    <w:jc w:val="center"/>
                  </w:pPr>
                  <w:r>
                    <w:t xml:space="preserve">load ~ treatment + (1 | site/treatment/corner)</w:t>
                  </w:r>
                </w:p>
              </w:tc>
              <w:tc>
                <w:tcPr/>
                <w:p>
                  <w:pPr>
                    <w:pStyle w:val="Compact"/>
                    <w:jc w:val="left"/>
                    <w:jc w:val="center"/>
                  </w:pPr>
                  <w:r>
                    <w:t xml:space="preserve">~1</w:t>
                  </w:r>
                </w:p>
              </w:tc>
              <w:tc>
                <w:tcPr/>
                <w:p>
                  <w:pPr>
                    <w:pStyle w:val="Compact"/>
                    <w:jc w:val="left"/>
                    <w:jc w:val="center"/>
                  </w:pPr>
                  <w:r>
                    <w:t xml:space="preserve">~1</w:t>
                  </w:r>
                </w:p>
              </w:tc>
            </w:tr>
            <w:tr>
              <w:tc>
                <w:tcPr/>
                <w:p>
                  <w:pPr>
                    <w:pStyle w:val="Compact"/>
                    <w:jc w:val="left"/>
                    <w:jc w:val="center"/>
                  </w:pPr>
                  <w:r>
                    <w:t xml:space="preserve">Vegetation</w:t>
                  </w:r>
                </w:p>
              </w:tc>
              <w:tc>
                <w:tcPr/>
                <w:p>
                  <w:pPr>
                    <w:pStyle w:val="Compact"/>
                    <w:jc w:val="left"/>
                    <w:jc w:val="center"/>
                  </w:pPr>
                  <w:r>
                    <w:t xml:space="preserve">Gamma</w:t>
                  </w:r>
                </w:p>
              </w:tc>
              <w:tc>
                <w:tcPr/>
                <w:p>
                  <w:pPr>
                    <w:pStyle w:val="Compact"/>
                    <w:jc w:val="left"/>
                    <w:jc w:val="center"/>
                  </w:pPr>
                  <w:r>
                    <w:t xml:space="preserve">log</w:t>
                  </w:r>
                </w:p>
              </w:tc>
              <w:tc>
                <w:tcPr/>
                <w:p>
                  <w:pPr>
                    <w:pStyle w:val="Compact"/>
                    <w:jc w:val="left"/>
                    <w:jc w:val="center"/>
                  </w:pPr>
                  <w:r>
                    <w:t xml:space="preserve">load ~ treatment + (1 | site/treatment/corner)</w:t>
                  </w:r>
                </w:p>
              </w:tc>
              <w:tc>
                <w:tcPr/>
                <w:p>
                  <w:pPr>
                    <w:pStyle w:val="Compact"/>
                    <w:jc w:val="left"/>
                    <w:jc w:val="center"/>
                  </w:pPr>
                  <w:r>
                    <w:t xml:space="preserve">~1</w:t>
                  </w:r>
                </w:p>
              </w:tc>
              <w:tc>
                <w:tcPr/>
                <w:p>
                  <w:pPr>
                    <w:pStyle w:val="Compact"/>
                    <w:jc w:val="left"/>
                    <w:jc w:val="center"/>
                  </w:pPr>
                  <w:r>
                    <w:t xml:space="preserve">~1</w:t>
                  </w:r>
                </w:p>
              </w:tc>
            </w:tr>
          </w:tbl>
          <w:bookmarkEnd w:id="55"/>
          <w:p/>
        </w:tc>
      </w:tr>
    </w:tbl>
    <w:p>
      <w:pPr>
        <w:pStyle w:val="BodyText"/>
      </w:pPr>
      <w:r>
        <w:t xml:space="preserve">For Duff &amp; Litter, the largest difference was between the HD and HA treatments.</w:t>
      </w:r>
      <w:r>
        <w:t xml:space="preserve"> </w:t>
      </w:r>
      <w:r>
        <w:t xml:space="preserve">The HD treatment had about 1.4 times more duff and litter (p = 0.07). Generally,</w:t>
      </w:r>
      <w:r>
        <w:t xml:space="preserve"> </w:t>
      </w:r>
      <w:r>
        <w:t xml:space="preserve">all treatments were similar, with estimated loading of around 50 Mg ha-1.</w:t>
      </w:r>
      <w:r>
        <w:t xml:space="preserve"> </w:t>
      </w:r>
      <w:r>
        <w:t xml:space="preserve">One-hour fuels were around 50% higher in the HA treatment compared to the LD and</w:t>
      </w:r>
      <w:r>
        <w:t xml:space="preserve"> </w:t>
      </w:r>
      <w:r>
        <w:t xml:space="preserve">GS treatments (p = 0.07, and p = 0.01, respectively), with mean differences of</w:t>
      </w:r>
      <w:r>
        <w:t xml:space="preserve"> </w:t>
      </w:r>
      <w:r>
        <w:t xml:space="preserve">around 0.5 Mg ha-1. Ten, hundred and thousand-hour fuels were statistically,</w:t>
      </w:r>
      <w:r>
        <w:t xml:space="preserve"> </w:t>
      </w:r>
      <w:r>
        <w:t xml:space="preserve">very similar across treatments (p = 0.7 — p = 1). Point estimates varied by about</w:t>
      </w:r>
      <w:r>
        <w:t xml:space="preserve"> </w:t>
      </w:r>
      <w:r>
        <w:t xml:space="preserve">1, 3, and &lt;20 Mg ha-1 for ten, hundred, and thousand-hour fuels, respectively</w:t>
      </w:r>
      <w:r>
        <w:t xml:space="preserve"> </w:t>
      </w:r>
      <w:r>
        <w:t xml:space="preserve">(</w:t>
      </w:r>
      <w:hyperlink w:anchor="fig-mod-fuel-pre-pct">
        <w:r>
          <w:rPr>
            <w:rStyle w:val="Hyperlink"/>
          </w:rPr>
          <w:t xml:space="preserve">Figure 3.6</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59" w:name="fig-mod-fuel-pre-pct"/>
          <w:p>
            <w:pPr>
              <w:pStyle w:val="Compact"/>
              <w:jc w:val="center"/>
            </w:pPr>
            <w:r>
              <w:drawing>
                <wp:inline>
                  <wp:extent cx="5334000" cy="2667000"/>
                  <wp:effectExtent b="0" l="0" r="0" t="0"/>
                  <wp:docPr descr="" title="" id="57" name="Picture"/>
                  <a:graphic>
                    <a:graphicData uri="http://schemas.openxmlformats.org/drawingml/2006/picture">
                      <pic:pic>
                        <pic:nvPicPr>
                          <pic:cNvPr descr="thesis/results_files/figure-docx/fig-mod-fuel-pre-pct-1.png" id="58" name="Picture"/>
                          <pic:cNvPicPr>
                            <a:picLocks noChangeArrowheads="1" noChangeAspect="1"/>
                          </pic:cNvPicPr>
                        </pic:nvPicPr>
                        <pic:blipFill>
                          <a:blip r:embed="rId56"/>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3.6: Estimated marginal means (black dots) confidence intervals (gray bands) and comparisons (blue arrows) of fuel loading across four treatments for six different fuel-class models. Non-overlapping blue arrows indicates statistical significance at the α = 0.05 level.</w:t>
            </w:r>
          </w:p>
          <w:bookmarkEnd w:id="59"/>
        </w:tc>
      </w:tr>
    </w:tbl>
    <w:bookmarkEnd w:id="60"/>
    <w:bookmarkStart w:id="66" w:name="post-pct"/>
    <w:p>
      <w:pPr>
        <w:pStyle w:val="Heading3"/>
      </w:pPr>
      <w:r>
        <w:t xml:space="preserve">3.3.2 Post-pct</w:t>
      </w:r>
    </w:p>
    <w:p>
      <w:pPr>
        <w:pStyle w:val="FirstParagraph"/>
      </w:pPr>
      <w:r>
        <w:t xml:space="preserve">The response for all six, post-pct fuel classes were modeled with a gamma</w:t>
      </w:r>
      <w:r>
        <w:t xml:space="preserve"> </w:t>
      </w:r>
      <w:r>
        <w:t xml:space="preserve">distribution and a log link, and included the same multi-level random effects as</w:t>
      </w:r>
      <w:r>
        <w:t xml:space="preserve"> </w:t>
      </w:r>
      <w:r>
        <w:t xml:space="preserve">for the pre-pct models. Dispersion models with treatment as the only predictor</w:t>
      </w:r>
      <w:r>
        <w:t xml:space="preserve"> </w:t>
      </w:r>
      <w:r>
        <w:t xml:space="preserve">were included for 1-hr and 100-hr fuel classes. All models included a hurdle</w:t>
      </w:r>
      <w:r>
        <w:t xml:space="preserve"> </w:t>
      </w:r>
      <w:r>
        <w:t xml:space="preserve">portion to model zeros using a logit link. For 100-hr fuels, this model included</w:t>
      </w:r>
      <w:r>
        <w:t xml:space="preserve"> </w:t>
      </w:r>
      <w:r>
        <w:t xml:space="preserve">treatment and site as predictors, and for the rest, a constant rate for all</w:t>
      </w:r>
      <w:r>
        <w:t xml:space="preserve"> </w:t>
      </w:r>
      <w:r>
        <w:t xml:space="preserve">observations was used (</w:t>
      </w:r>
      <w:hyperlink w:anchor="tbl-mod-fuel-post-pct">
        <w:r>
          <w:rPr>
            <w:rStyle w:val="Hyperlink"/>
          </w:rPr>
          <w:t xml:space="preserve">Table 3.2</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61" w:name="tbl-mod-fuel-post-pct"/>
          <w:p>
            <w:pPr>
              <w:jc w:val="center"/>
            </w:pPr>
            <w:pPr>
              <w:jc w:val="start"/>
              <w:spacing w:before="200"/>
              <w:pStyle w:val="ImageCaption"/>
            </w:pPr>
            <w:r>
              <w:t xml:space="preserve">Table 3.2: Model specifications for six fuel classes after pct.</w:t>
            </w:r>
          </w:p>
          <w:tbl>
            <w:tblPr>
              <w:tblStyle w:val="Table"/>
              <w:tblW w:type="pct" w:w="4848"/>
              <w:tblLook w:firstRow="1" w:lastRow="0" w:firstColumn="0" w:lastColumn="0" w:noHBand="0" w:noVBand="0" w:val="0020"/>
              <w:jc w:val="start"/>
              <w:tblLayout w:type="fixed"/>
            </w:tblPr>
            <w:tblGrid>
              <w:gridCol w:w="1440"/>
              <w:gridCol w:w="540"/>
              <w:gridCol w:w="420"/>
              <w:gridCol w:w="2940"/>
              <w:gridCol w:w="1140"/>
              <w:gridCol w:w="1200"/>
            </w:tblGrid>
            <w:tr>
              <w:trPr>
                <w:tblHeader w:val="true"/>
              </w:trPr>
              <w:tc>
                <w:tcPr/>
                <w:p>
                  <w:pPr>
                    <w:pStyle w:val="Compact"/>
                    <w:jc w:val="left"/>
                    <w:jc w:val="center"/>
                  </w:pPr>
                  <w:r>
                    <w:t xml:space="preserve">class</w:t>
                  </w:r>
                </w:p>
              </w:tc>
              <w:tc>
                <w:tcPr/>
                <w:p>
                  <w:pPr>
                    <w:pStyle w:val="Compact"/>
                    <w:jc w:val="left"/>
                    <w:jc w:val="center"/>
                  </w:pPr>
                  <w:r>
                    <w:t xml:space="preserve">Family</w:t>
                  </w:r>
                </w:p>
              </w:tc>
              <w:tc>
                <w:tcPr/>
                <w:p>
                  <w:pPr>
                    <w:pStyle w:val="Compact"/>
                    <w:jc w:val="left"/>
                    <w:jc w:val="center"/>
                  </w:pPr>
                  <w:r>
                    <w:t xml:space="preserve">Link</w:t>
                  </w:r>
                </w:p>
              </w:tc>
              <w:tc>
                <w:tcPr/>
                <w:p>
                  <w:pPr>
                    <w:pStyle w:val="Compact"/>
                    <w:jc w:val="left"/>
                    <w:jc w:val="center"/>
                  </w:pPr>
                  <w:r>
                    <w:t xml:space="preserve">Conditional</w:t>
                  </w:r>
                </w:p>
              </w:tc>
              <w:tc>
                <w:tcPr/>
                <w:p>
                  <w:pPr>
                    <w:pStyle w:val="Compact"/>
                    <w:jc w:val="left"/>
                    <w:jc w:val="center"/>
                  </w:pPr>
                  <w:r>
                    <w:t xml:space="preserve">Dispersion (log)</w:t>
                  </w:r>
                </w:p>
              </w:tc>
              <w:tc>
                <w:tcPr/>
                <w:p>
                  <w:pPr>
                    <w:pStyle w:val="Compact"/>
                    <w:jc w:val="left"/>
                    <w:jc w:val="center"/>
                  </w:pPr>
                  <w:r>
                    <w:t xml:space="preserve">Hurdle (logit)</w:t>
                  </w:r>
                </w:p>
              </w:tc>
            </w:tr>
            <w:tr>
              <w:tc>
                <w:tcPr/>
                <w:p>
                  <w:pPr>
                    <w:pStyle w:val="Compact"/>
                    <w:jc w:val="left"/>
                    <w:jc w:val="center"/>
                  </w:pPr>
                  <w:r>
                    <w:t xml:space="preserve">1-hr</w:t>
                  </w:r>
                </w:p>
              </w:tc>
              <w:tc>
                <w:tcPr/>
                <w:p>
                  <w:pPr>
                    <w:pStyle w:val="Compact"/>
                    <w:jc w:val="left"/>
                    <w:jc w:val="center"/>
                  </w:pPr>
                  <w:r>
                    <w:t xml:space="preserve">Gamma</w:t>
                  </w:r>
                </w:p>
              </w:tc>
              <w:tc>
                <w:tcPr/>
                <w:p>
                  <w:pPr>
                    <w:pStyle w:val="Compact"/>
                    <w:jc w:val="left"/>
                    <w:jc w:val="center"/>
                  </w:pPr>
                  <w:r>
                    <w:t xml:space="preserve">log</w:t>
                  </w:r>
                </w:p>
              </w:tc>
              <w:tc>
                <w:tcPr/>
                <w:p>
                  <w:pPr>
                    <w:pStyle w:val="Compact"/>
                    <w:jc w:val="left"/>
                    <w:jc w:val="center"/>
                  </w:pPr>
                  <w:r>
                    <w:t xml:space="preserve">load ~ treatment + (1 | site/treatment/corner)</w:t>
                  </w:r>
                </w:p>
              </w:tc>
              <w:tc>
                <w:tcPr/>
                <w:p>
                  <w:pPr>
                    <w:pStyle w:val="Compact"/>
                    <w:jc w:val="left"/>
                    <w:jc w:val="center"/>
                  </w:pPr>
                  <w:r>
                    <w:t xml:space="preserve">~treatment</w:t>
                  </w:r>
                </w:p>
              </w:tc>
              <w:tc>
                <w:tcPr/>
                <w:p>
                  <w:pPr>
                    <w:pStyle w:val="Compact"/>
                    <w:jc w:val="left"/>
                    <w:jc w:val="center"/>
                  </w:pPr>
                  <w:r>
                    <w:t xml:space="preserve">~1</w:t>
                  </w:r>
                </w:p>
              </w:tc>
            </w:tr>
            <w:tr>
              <w:tc>
                <w:tcPr/>
                <w:p>
                  <w:pPr>
                    <w:pStyle w:val="Compact"/>
                    <w:jc w:val="left"/>
                    <w:jc w:val="center"/>
                  </w:pPr>
                  <w:r>
                    <w:t xml:space="preserve">10-hr</w:t>
                  </w:r>
                </w:p>
              </w:tc>
              <w:tc>
                <w:tcPr/>
                <w:p>
                  <w:pPr>
                    <w:pStyle w:val="Compact"/>
                    <w:jc w:val="left"/>
                    <w:jc w:val="center"/>
                  </w:pPr>
                  <w:r>
                    <w:t xml:space="preserve">Gamma</w:t>
                  </w:r>
                </w:p>
              </w:tc>
              <w:tc>
                <w:tcPr/>
                <w:p>
                  <w:pPr>
                    <w:pStyle w:val="Compact"/>
                    <w:jc w:val="left"/>
                    <w:jc w:val="center"/>
                  </w:pPr>
                  <w:r>
                    <w:t xml:space="preserve">log</w:t>
                  </w:r>
                </w:p>
              </w:tc>
              <w:tc>
                <w:tcPr/>
                <w:p>
                  <w:pPr>
                    <w:pStyle w:val="Compact"/>
                    <w:jc w:val="left"/>
                    <w:jc w:val="center"/>
                  </w:pPr>
                  <w:r>
                    <w:t xml:space="preserve">load ~ treatment + (1 | site/treatment/corner)</w:t>
                  </w:r>
                </w:p>
              </w:tc>
              <w:tc>
                <w:tcPr/>
                <w:p>
                  <w:pPr>
                    <w:pStyle w:val="Compact"/>
                    <w:jc w:val="left"/>
                    <w:jc w:val="center"/>
                  </w:pPr>
                  <w:r>
                    <w:t xml:space="preserve">~1</w:t>
                  </w:r>
                </w:p>
              </w:tc>
              <w:tc>
                <w:tcPr/>
                <w:p>
                  <w:pPr>
                    <w:pStyle w:val="Compact"/>
                    <w:jc w:val="left"/>
                    <w:jc w:val="center"/>
                  </w:pPr>
                  <w:r>
                    <w:t xml:space="preserve">~1</w:t>
                  </w:r>
                </w:p>
              </w:tc>
            </w:tr>
            <w:tr>
              <w:tc>
                <w:tcPr/>
                <w:p>
                  <w:pPr>
                    <w:pStyle w:val="Compact"/>
                    <w:jc w:val="left"/>
                    <w:jc w:val="center"/>
                  </w:pPr>
                  <w:r>
                    <w:t xml:space="preserve">100-hr</w:t>
                  </w:r>
                </w:p>
              </w:tc>
              <w:tc>
                <w:tcPr/>
                <w:p>
                  <w:pPr>
                    <w:pStyle w:val="Compact"/>
                    <w:jc w:val="left"/>
                    <w:jc w:val="center"/>
                  </w:pPr>
                  <w:r>
                    <w:t xml:space="preserve">Gamma</w:t>
                  </w:r>
                </w:p>
              </w:tc>
              <w:tc>
                <w:tcPr/>
                <w:p>
                  <w:pPr>
                    <w:pStyle w:val="Compact"/>
                    <w:jc w:val="left"/>
                    <w:jc w:val="center"/>
                  </w:pPr>
                  <w:r>
                    <w:t xml:space="preserve">log</w:t>
                  </w:r>
                </w:p>
              </w:tc>
              <w:tc>
                <w:tcPr/>
                <w:p>
                  <w:pPr>
                    <w:pStyle w:val="Compact"/>
                    <w:jc w:val="left"/>
                    <w:jc w:val="center"/>
                  </w:pPr>
                  <w:r>
                    <w:t xml:space="preserve">load ~ treatment + (1 | site/treatment/corner)</w:t>
                  </w:r>
                </w:p>
              </w:tc>
              <w:tc>
                <w:tcPr/>
                <w:p>
                  <w:pPr>
                    <w:pStyle w:val="Compact"/>
                    <w:jc w:val="left"/>
                    <w:jc w:val="center"/>
                  </w:pPr>
                  <w:r>
                    <w:t xml:space="preserve">~treatment</w:t>
                  </w:r>
                </w:p>
              </w:tc>
              <w:tc>
                <w:tcPr/>
                <w:p>
                  <w:pPr>
                    <w:pStyle w:val="Compact"/>
                    <w:jc w:val="left"/>
                    <w:jc w:val="center"/>
                  </w:pPr>
                  <w:r>
                    <w:t xml:space="preserve">~treatment + site</w:t>
                  </w:r>
                </w:p>
              </w:tc>
            </w:tr>
            <w:tr>
              <w:tc>
                <w:tcPr/>
                <w:p>
                  <w:pPr>
                    <w:pStyle w:val="Compact"/>
                    <w:jc w:val="left"/>
                    <w:jc w:val="center"/>
                  </w:pPr>
                  <w:r>
                    <w:t xml:space="preserve">1,000-hr</w:t>
                  </w:r>
                </w:p>
              </w:tc>
              <w:tc>
                <w:tcPr/>
                <w:p>
                  <w:pPr>
                    <w:pStyle w:val="Compact"/>
                    <w:jc w:val="left"/>
                    <w:jc w:val="center"/>
                  </w:pPr>
                  <w:r>
                    <w:t xml:space="preserve">Gamma</w:t>
                  </w:r>
                </w:p>
              </w:tc>
              <w:tc>
                <w:tcPr/>
                <w:p>
                  <w:pPr>
                    <w:pStyle w:val="Compact"/>
                    <w:jc w:val="left"/>
                    <w:jc w:val="center"/>
                  </w:pPr>
                  <w:r>
                    <w:t xml:space="preserve">log</w:t>
                  </w:r>
                </w:p>
              </w:tc>
              <w:tc>
                <w:tcPr/>
                <w:p>
                  <w:pPr>
                    <w:pStyle w:val="Compact"/>
                    <w:jc w:val="left"/>
                    <w:jc w:val="center"/>
                  </w:pPr>
                  <w:r>
                    <w:t xml:space="preserve">load ~ treatment + (1 | site/treatment/corner)</w:t>
                  </w:r>
                </w:p>
              </w:tc>
              <w:tc>
                <w:tcPr/>
                <w:p>
                  <w:pPr>
                    <w:pStyle w:val="Compact"/>
                    <w:jc w:val="left"/>
                    <w:jc w:val="center"/>
                  </w:pPr>
                  <w:r>
                    <w:t xml:space="preserve">~1</w:t>
                  </w:r>
                </w:p>
              </w:tc>
              <w:tc>
                <w:tcPr/>
                <w:p>
                  <w:pPr>
                    <w:pStyle w:val="Compact"/>
                    <w:jc w:val="left"/>
                    <w:jc w:val="center"/>
                  </w:pPr>
                  <w:r>
                    <w:t xml:space="preserve">~1</w:t>
                  </w:r>
                </w:p>
              </w:tc>
            </w:tr>
            <w:tr>
              <w:tc>
                <w:tcPr/>
                <w:p>
                  <w:pPr>
                    <w:pStyle w:val="Compact"/>
                    <w:jc w:val="left"/>
                    <w:jc w:val="center"/>
                  </w:pPr>
                  <w:r>
                    <w:t xml:space="preserve">Vegetation</w:t>
                  </w:r>
                </w:p>
              </w:tc>
              <w:tc>
                <w:tcPr/>
                <w:p>
                  <w:pPr>
                    <w:pStyle w:val="Compact"/>
                    <w:jc w:val="left"/>
                    <w:jc w:val="center"/>
                  </w:pPr>
                  <w:r>
                    <w:t xml:space="preserve">Gamma</w:t>
                  </w:r>
                </w:p>
              </w:tc>
              <w:tc>
                <w:tcPr/>
                <w:p>
                  <w:pPr>
                    <w:pStyle w:val="Compact"/>
                    <w:jc w:val="left"/>
                    <w:jc w:val="center"/>
                  </w:pPr>
                  <w:r>
                    <w:t xml:space="preserve">log</w:t>
                  </w:r>
                </w:p>
              </w:tc>
              <w:tc>
                <w:tcPr/>
                <w:p>
                  <w:pPr>
                    <w:pStyle w:val="Compact"/>
                    <w:jc w:val="left"/>
                    <w:jc w:val="center"/>
                  </w:pPr>
                  <w:r>
                    <w:t xml:space="preserve">load ~ treatment + (1 | site/treatment/corner)</w:t>
                  </w:r>
                </w:p>
              </w:tc>
              <w:tc>
                <w:tcPr/>
                <w:p>
                  <w:pPr>
                    <w:pStyle w:val="Compact"/>
                    <w:jc w:val="left"/>
                    <w:jc w:val="center"/>
                  </w:pPr>
                  <w:r>
                    <w:t xml:space="preserve">~1</w:t>
                  </w:r>
                </w:p>
              </w:tc>
              <w:tc>
                <w:tcPr/>
                <w:p>
                  <w:pPr>
                    <w:pStyle w:val="Compact"/>
                    <w:jc w:val="left"/>
                    <w:jc w:val="center"/>
                  </w:pPr>
                  <w:r>
                    <w:t xml:space="preserve">~1</w:t>
                  </w:r>
                </w:p>
              </w:tc>
            </w:tr>
            <w:tr>
              <w:tc>
                <w:tcPr/>
                <w:p>
                  <w:pPr>
                    <w:pStyle w:val="Compact"/>
                    <w:jc w:val="left"/>
                    <w:jc w:val="center"/>
                  </w:pPr>
                  <w:r>
                    <w:t xml:space="preserve">Vegetation Difference</w:t>
                  </w:r>
                </w:p>
              </w:tc>
              <w:tc>
                <w:tcPr/>
                <w:p>
                  <w:pPr>
                    <w:pStyle w:val="Compact"/>
                    <w:jc w:val="left"/>
                    <w:jc w:val="center"/>
                  </w:pPr>
                  <w:r>
                    <w:t xml:space="preserve">Gamma</w:t>
                  </w:r>
                </w:p>
              </w:tc>
              <w:tc>
                <w:tcPr/>
                <w:p>
                  <w:pPr>
                    <w:pStyle w:val="Compact"/>
                    <w:jc w:val="left"/>
                    <w:jc w:val="center"/>
                  </w:pPr>
                  <w:r>
                    <w:t xml:space="preserve">log</w:t>
                  </w:r>
                </w:p>
              </w:tc>
              <w:tc>
                <w:tcPr/>
                <w:p>
                  <w:pPr>
                    <w:pStyle w:val="Compact"/>
                    <w:jc w:val="left"/>
                    <w:jc w:val="center"/>
                  </w:pPr>
                  <w:r>
                    <w:t xml:space="preserve">load ~ treatment + (1 | site/treatment/corner)</w:t>
                  </w:r>
                </w:p>
              </w:tc>
              <w:tc>
                <w:tcPr/>
                <w:p>
                  <w:pPr>
                    <w:pStyle w:val="Compact"/>
                    <w:jc w:val="left"/>
                    <w:jc w:val="center"/>
                  </w:pPr>
                  <w:r>
                    <w:t xml:space="preserve">~1</w:t>
                  </w:r>
                </w:p>
              </w:tc>
              <w:tc>
                <w:tcPr/>
                <w:p>
                  <w:pPr>
                    <w:pStyle w:val="Compact"/>
                    <w:jc w:val="left"/>
                    <w:jc w:val="center"/>
                  </w:pPr>
                  <w:r>
                    <w:t xml:space="preserve">~1</w:t>
                  </w:r>
                </w:p>
              </w:tc>
            </w:tr>
          </w:tbl>
          <w:bookmarkEnd w:id="61"/>
          <w:p/>
        </w:tc>
      </w:tr>
    </w:tbl>
    <w:p>
      <w:pPr>
        <w:pStyle w:val="BodyText"/>
      </w:pPr>
      <w:r>
        <w:t xml:space="preserve">Post-pct resulted in greater stratification of treatments</w:t>
      </w:r>
      <w:r>
        <w:t xml:space="preserve"> </w:t>
      </w:r>
      <w:r>
        <w:t xml:space="preserve">(</w:t>
      </w:r>
      <w:hyperlink w:anchor="fig-mod-fuel-post-pct">
        <w:r>
          <w:rPr>
            <w:rStyle w:val="Hyperlink"/>
          </w:rPr>
          <w:t xml:space="preserve">Figure 3.7</w:t>
        </w:r>
      </w:hyperlink>
      <w:r>
        <w:t xml:space="preserve">). One-hour fuels were</w:t>
      </w:r>
      <w:r>
        <w:t xml:space="preserve"> </w:t>
      </w:r>
      <w:r>
        <w:t xml:space="preserve">generally around 2.4 Mg ha</w:t>
      </w:r>
      <w:r>
        <w:rPr>
          <w:vertAlign w:val="superscript"/>
        </w:rPr>
        <w:t xml:space="preserve">-1</w:t>
      </w:r>
      <w:r>
        <w:t xml:space="preserve">, but the HA treatment had around half of that</w:t>
      </w:r>
      <w:r>
        <w:t xml:space="preserve"> </w:t>
      </w:r>
      <w:r>
        <w:t xml:space="preserve">amount (p = 0.01 — p = 0.02). The GS treatment had the greatest 10-hr fuel</w:t>
      </w:r>
      <w:r>
        <w:t xml:space="preserve"> </w:t>
      </w:r>
      <w:r>
        <w:t xml:space="preserve">loading with 8.8 Mg ha</w:t>
      </w:r>
      <w:r>
        <w:rPr>
          <w:vertAlign w:val="superscript"/>
        </w:rPr>
        <w:t xml:space="preserve">-1</w:t>
      </w:r>
      <w:r>
        <w:t xml:space="preserve">, which was about 1.6, 2.3 and 2.9 times greater than</w:t>
      </w:r>
      <w:r>
        <w:t xml:space="preserve"> </w:t>
      </w:r>
      <w:r>
        <w:t xml:space="preserve">the LD, HA, and HD treatments respectively (p = 0.03, p &lt; 0.001, for the others,</w:t>
      </w:r>
      <w:r>
        <w:t xml:space="preserve"> </w:t>
      </w:r>
      <w:r>
        <w:t xml:space="preserve">respectively). The LD treatment also had about 1.7 times more 10-hr fuels that</w:t>
      </w:r>
      <w:r>
        <w:t xml:space="preserve"> </w:t>
      </w:r>
      <w:r>
        <w:t xml:space="preserve">the HD treatment (5.4 vs. 3 Mg ha</w:t>
      </w:r>
      <w:r>
        <w:rPr>
          <w:vertAlign w:val="superscript"/>
        </w:rPr>
        <w:t xml:space="preserve">-1</w:t>
      </w:r>
      <w:r>
        <w:t xml:space="preserve">, p = 0.001). Hundred-hour fuels were also</w:t>
      </w:r>
      <w:r>
        <w:t xml:space="preserve"> </w:t>
      </w:r>
      <w:r>
        <w:t xml:space="preserve">greatest in the GS treatment, with an average of about 19 Mg ha</w:t>
      </w:r>
      <w:r>
        <w:rPr>
          <w:vertAlign w:val="superscript"/>
        </w:rPr>
        <w:t xml:space="preserve">-1</w:t>
      </w:r>
      <w:r>
        <w:t xml:space="preserve">, which was</w:t>
      </w:r>
      <w:r>
        <w:t xml:space="preserve"> </w:t>
      </w:r>
      <w:r>
        <w:t xml:space="preserve">about 2.6 times greater than in the HD treatment (7 Mg ha</w:t>
      </w:r>
      <w:r>
        <w:rPr>
          <w:vertAlign w:val="superscript"/>
        </w:rPr>
        <w:t xml:space="preserve">-1</w:t>
      </w:r>
      <w:r>
        <w:t xml:space="preserve">, p &lt; 0.001).</w:t>
      </w:r>
      <w:r>
        <w:t xml:space="preserve"> </w:t>
      </w:r>
      <w:r>
        <w:t xml:space="preserve">Thousand-hour fuels were greatest in the HD treatment, with 80 Mg ha</w:t>
      </w:r>
      <w:r>
        <w:rPr>
          <w:vertAlign w:val="superscript"/>
        </w:rPr>
        <w:t xml:space="preserve">-1</w:t>
      </w:r>
      <w:r>
        <w:t xml:space="preserve">, which</w:t>
      </w:r>
      <w:r>
        <w:t xml:space="preserve"> </w:t>
      </w:r>
      <w:r>
        <w:t xml:space="preserve">was about 2.7 times greater than the LD and HD treatments (p = 0.03 and p = 0.05,</w:t>
      </w:r>
      <w:r>
        <w:t xml:space="preserve"> </w:t>
      </w:r>
      <w:r>
        <w:t xml:space="preserve">respectively). Fuel loading for live vegetation was similar across treatments at</w:t>
      </w:r>
      <w:r>
        <w:t xml:space="preserve"> </w:t>
      </w:r>
      <w:r>
        <w:t xml:space="preserve">around 2.5 Mg ha</w:t>
      </w:r>
      <w:r>
        <w:rPr>
          <w:vertAlign w:val="superscript"/>
        </w:rPr>
        <w:t xml:space="preserve">-1</w:t>
      </w:r>
      <w:r>
        <w:t xml:space="preserve">. The pre-post vegetation difference was greatest in the GS</w:t>
      </w:r>
      <w:r>
        <w:t xml:space="preserve"> </w:t>
      </w:r>
      <w:r>
        <w:t xml:space="preserve">treatment at about 31 Mg ha</w:t>
      </w:r>
      <w:r>
        <w:rPr>
          <w:vertAlign w:val="superscript"/>
        </w:rPr>
        <w:t xml:space="preserve">-1</w:t>
      </w:r>
      <w:r>
        <w:t xml:space="preserve">, which was 2.5 and 2.8 times the HD and HA</w:t>
      </w:r>
      <w:r>
        <w:t xml:space="preserve"> </w:t>
      </w:r>
      <w:r>
        <w:t xml:space="preserve">treatments, respectively (p ≈ 0.01).</w:t>
      </w:r>
    </w:p>
    <w:tbl>
      <w:tblPr>
        <w:tblStyle w:val="Table"/>
        <w:tblW w:type="pct" w:w="5000"/>
        <w:tblLook w:firstRow="0" w:lastRow="0" w:firstColumn="0" w:lastColumn="0" w:noHBand="0" w:noVBand="0" w:val="0000"/>
        <w:jc w:val="start"/>
        <w:tblLayout w:type="fixed"/>
      </w:tblPr>
      <w:tblGrid>
        <w:gridCol w:w="7920"/>
      </w:tblGrid>
      <w:tr>
        <w:tc>
          <w:tcPr/>
          <w:bookmarkStart w:id="65" w:name="fig-mod-fuel-post-pct"/>
          <w:p>
            <w:pPr>
              <w:pStyle w:val="Compact"/>
              <w:jc w:val="center"/>
            </w:pPr>
            <w:r>
              <w:drawing>
                <wp:inline>
                  <wp:extent cx="5334000" cy="2667000"/>
                  <wp:effectExtent b="0" l="0" r="0" t="0"/>
                  <wp:docPr descr="" title="" id="63" name="Picture"/>
                  <a:graphic>
                    <a:graphicData uri="http://schemas.openxmlformats.org/drawingml/2006/picture">
                      <pic:pic>
                        <pic:nvPicPr>
                          <pic:cNvPr descr="thesis/results_files/figure-docx/fig-mod-fuel-post-pct-1.png" id="64" name="Picture"/>
                          <pic:cNvPicPr>
                            <a:picLocks noChangeArrowheads="1" noChangeAspect="1"/>
                          </pic:cNvPicPr>
                        </pic:nvPicPr>
                        <pic:blipFill>
                          <a:blip r:embed="rId62"/>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3.7: Estimated marginal means (black dots) confidence intervals (gray bars) and comparisons (blue arrows) of fuel loading across four treatments for six different fuel-class models. Non-overlapping red arrows indicates statistical significance at the α = 0.05 level. Vegetation difference equals the transect level difference in vegetation load in the pre and post-pct conditions. This represents slash fuels recruited to the forest floor following the pre-commercial thinning.</w:t>
            </w:r>
          </w:p>
          <w:bookmarkEnd w:id="65"/>
        </w:tc>
      </w:tr>
    </w:tbl>
    <w:bookmarkEnd w:id="66"/>
    <w:bookmarkEnd w:id="67"/>
    <w:bookmarkEnd w:id="68"/>
    <w:bookmarkStart w:id="69" w:name="discussion"/>
    <w:p>
      <w:pPr>
        <w:pStyle w:val="Heading1"/>
      </w:pPr>
      <w:r>
        <w:t xml:space="preserve">4. Discussion</w:t>
      </w:r>
    </w:p>
    <w:p>
      <w:pPr>
        <w:pStyle w:val="FirstParagraph"/>
      </w:pPr>
      <w:r>
        <w:t xml:space="preserve">This will be the discussion</w:t>
      </w:r>
    </w:p>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62" Target="media/rId62.png" /><Relationship Type="http://schemas.openxmlformats.org/officeDocument/2006/relationships/image" Id="rId56" Target="media/rId56.png" /><Relationship Type="http://schemas.openxmlformats.org/officeDocument/2006/relationships/image" Id="rId26" Target="media/rId26.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9" Target="media/rId4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Regeneration and Fuel Loads with Varying Overstory Retention in Redwood Stands 10 Years after Transformation to Multiaged Management</dc:title>
  <dc:creator>Judson Fisher</dc:creator>
  <cp:keywords/>
  <dcterms:created xsi:type="dcterms:W3CDTF">2024-04-12T00:39:01Z</dcterms:created>
  <dcterms:modified xsi:type="dcterms:W3CDTF">2024-04-12T00:39:01Z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2024-02-13</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emplate-partials">
    <vt:lpwstr/>
  </property>
  <property fmtid="{D5CDD505-2E9C-101B-9397-08002B2CF9AE}" pid="14" name="toc-title">
    <vt:lpwstr>Table of contents</vt:lpwstr>
  </property>
</Properties>
</file>