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left"/>
      </w:pPr>
      <w:r>
        <w:rPr>
          <w:rFonts w:ascii="Microsoft YaHei" w:hAnsi="Microsoft YaHei" w:eastAsia="Microsoft YaHei"/>
          <w:b/>
          <w:color w:val="000000"/>
          <w:sz w:val="50"/>
        </w:rPr>
        <w:t>Harness 详细设计与运行报告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本报告记录 Phase 1B 本地 Mock Pipeline 的实现与运行证据。当前尚未接入外部 WorkAgent provider，Office 文件也不代表真实办公任务执行结果。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设计与部署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Pipeline 由 TaskSpec、Orchestrator、MockWorkAgentAdapter、ArtifactStore、TraceStore 和 BasicEvaluator 组成。Orchestrator 管理运行状态、受控重试和失败记录。ArtifactStore 使用 SHA-256 管理输出，TraceStore 使用 SQLite 保存事件。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运行记录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2484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2484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Run ID</w:t>
            </w:r>
          </w:p>
        </w:tc>
        <w:tc>
          <w:tcPr>
            <w:tcW w:type="dxa" w:w="2484"/>
            <w:shd w:fill="1E3A8A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Seconds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minimal_success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SUCCEEDED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run-800e181b7ffc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0.057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complete_success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SUCCEEDED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run-b765a2399b4b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0.059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controlled_failure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FAILED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run-260ed93c619b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0.047</w:t>
            </w:r>
          </w:p>
        </w:tc>
      </w:tr>
    </w:tbl>
    <w:p>
      <w:pPr>
        <w:spacing w:before="240" w:after="100"/>
      </w:pPr>
      <w:r>
        <w:rPr>
          <w:rFonts w:ascii="Microsoft YaHei" w:hAnsi="Microsoft YaHei" w:eastAsia="Microsoft YaHei"/>
          <w:b/>
          <w:color w:val="000000"/>
          <w:sz w:val="30"/>
        </w:rPr>
        <w:t>复现与限制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复现命令为 py -3.12 project_artifacts/phase1_harness/scripts/run_phase1_cases.py。每个 case 的 JSON 和 SQLite trace 位于 project_artifacts/phase1_harness/results。当前结果只证明本地 mock Harness 闭环，真实 WorkAgent 接入和 Office 引擎验证仍是下一步任务。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