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Smets &amp; Wouters (2007)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C0392B"/>
          <w:sz w:val="36"/>
          <w:szCs w:val="36"/>
        </w:rPr>
        <w:t xml:space="preserve">逐步精读：推导 · 代码 · 结果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Shocks and Frictions in US Business Cycles: A Bayesian DSGE Approach</w:t>
      </w:r>
    </w:p>
    <w:p>
      <w:pPr>
        <w:spacing w:after="72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American Economic Review, 97(3), 586–606, June 2007</w:t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为什么这篇论文是标准</w:t>
      </w:r>
    </w:p>
    <w:p>
      <w:r>
        <w:rPr>
          <w:rFonts w:ascii="Arial" w:cs="Arial" w:eastAsia="Arial" w:hAnsi="Arial"/>
          <w:sz w:val="22"/>
          <w:szCs w:val="22"/>
        </w:rPr>
        <w:t xml:space="preserve">SW2007 同时实现了以下三点，而此前从未有论文做到：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摩擦全覆盖：</w:t>
      </w:r>
      <w:r>
        <w:rPr>
          <w:rFonts w:ascii="Arial" w:cs="Arial" w:eastAsia="Arial" w:hAnsi="Arial"/>
          <w:sz w:val="22"/>
          <w:szCs w:val="22"/>
        </w:rPr>
        <w:t xml:space="preserve">将所有主流名义与实际摩擦整合进同一个模型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贝叶斯估计：</w:t>
      </w:r>
      <w:r>
        <w:rPr>
          <w:rFonts w:ascii="Arial" w:cs="Arial" w:eastAsia="Arial" w:hAnsi="Arial"/>
          <w:sz w:val="22"/>
          <w:szCs w:val="22"/>
        </w:rPr>
        <w:t xml:space="preserve">不是校准，而是用数据估计所有参数，并量化不确定性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击败 VAR：</w:t>
      </w:r>
      <w:r>
        <w:rPr>
          <w:rFonts w:ascii="Arial" w:cs="Arial" w:eastAsia="Arial" w:hAnsi="Arial"/>
          <w:sz w:val="22"/>
          <w:szCs w:val="22"/>
        </w:rPr>
        <w:t xml:space="preserve">样本外预测能力媲美贝叶斯 VAR——这让宏观经济学界震惊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此后所有央行的 DSGE 建模，都以此为参照系。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第一部分：模型架构总览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六大摩擦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480"/>
        <w:gridCol w:w="2000"/>
      </w:tblGrid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摩擦类型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对应参数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价格粘性（Calvo）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每期只有 (1-ξ_p) 的厂商可调价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ξ_p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价格指数化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不调价者按过去通胀部分指数化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ι_p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工资粘性（Calvo）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每期只有 (1-ξ_w) 的工会可重谈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ξ_w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工资指数化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不调薪者按过去通胀部分指数化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ι_w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习惯形成（外部）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效用依赖消费相对于习惯存量的偏差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投资调整成本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投资变化率产生凸性成本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</w:t>
            </w:r>
          </w:p>
        </w:tc>
      </w:tr>
      <w:tr>
        <w:tc>
          <w:tcPr>
            <w:tcW w:type="dxa" w:w="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可变资本利用率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资本利用率内生，利用率高则折旧成本高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七大结构冲击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100"/>
        <w:gridCol w:w="31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经济含义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影响边际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TFP冲击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全要素生产率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生产可能性边界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风险溢价冲击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储蓄-投资楔子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跨期边际（intertemporal）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投资特定技术冲击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投资品相对价格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跨期边际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政府支出冲击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外生需求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总需求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价格加成冲击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期望加成的随机波动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跨时期边际（intratemporal）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工资加成冲击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工资加成的随机波动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跨时期边际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货币政策冲击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Taylor规则的偏离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总需求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BF5FB" w:val="clear"/>
        <w:spacing w:after="0" w:before="120"/>
        <w:ind w:left="180" w:right="18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设计逻辑：</w:t>
      </w:r>
    </w:p>
    <w:p>
      <w:pPr>
        <w:shd w:fill="EBF5FB" w:val="clear"/>
        <w:spacing w:after="120" w:before="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7个冲击对应7个可观测变量，确保模型恰好识别（exactly identified），避免随机奇异性（stochastic singularity）。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第二部分：七大冲击的设定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标准 AR(1) 冲击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ln X_t = ρ_X · ln X_{t-1} + ε^X_t,    ε^X_t ~ N(0, σ_X²)</w:t>
      </w:r>
    </w:p>
    <w:p>
      <w:r>
        <w:rPr>
          <w:rFonts w:ascii="Arial" w:cs="Arial" w:eastAsia="Arial" w:hAnsi="Arial"/>
          <w:sz w:val="22"/>
          <w:szCs w:val="22"/>
        </w:rPr>
        <w:t xml:space="preserve">适用于：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X ∈ {A_t, B_t, Υ_t, G_t}</w:t>
      </w:r>
      <w:r>
        <w:rPr>
          <w:rFonts w:ascii="Arial" w:cs="Arial" w:eastAsia="Arial" w:hAnsi="Arial"/>
          <w:sz w:val="22"/>
          <w:szCs w:val="22"/>
        </w:rPr>
        <w:t xml:space="preserve">（TFP、风险溢价、投资技术、政府支出）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ARMA(1,1) 加成冲击</w:t>
      </w:r>
    </w:p>
    <w:p>
      <w:r>
        <w:rPr>
          <w:rFonts w:ascii="Arial" w:cs="Arial" w:eastAsia="Arial" w:hAnsi="Arial"/>
          <w:sz w:val="22"/>
          <w:szCs w:val="22"/>
        </w:rPr>
        <w:t xml:space="preserve">价格和工资加成冲击带有 MA(1) 项，允许一阶序列相关结构：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ε^p_t = ρ_p ε^p_{t-1} + η^p_t - μ_p η^p_{t-1},    η^p_t ~ N(0, σ_p²)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ε^w_t = ρ_w ε^w_{t-1} + η^w_t - μ_w η^w_{t-1},    η^w_t ~ N(0, σ_w²)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为什么需要 MA 项：</w:t>
      </w:r>
      <w:r>
        <w:rPr>
          <w:rFonts w:ascii="Arial" w:cs="Arial" w:eastAsia="Arial" w:hAnsi="Arial"/>
          <w:sz w:val="22"/>
          <w:szCs w:val="22"/>
        </w:rPr>
        <w:t xml:space="preserve">纯 AR 冲击产生的菲利普斯曲线动态不够丰富；MA 项允许加成冲击对通胀有即时效应又有一阶持续性，与数据更吻合。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政府支出冲击的特殊设定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g_t = ρ_g g_{t-1} + ε^g_t + ρ_{ga} ε^a_t</w:t>
      </w:r>
    </w:p>
    <w:p>
      <w:r>
        <w:rPr>
          <w:rFonts w:ascii="Arial" w:cs="Arial" w:eastAsia="Arial" w:hAnsi="Arial"/>
          <w:sz w:val="22"/>
          <w:szCs w:val="22"/>
        </w:rPr>
        <w:t xml:space="preserve">政府支出部分由 TFP 冲击驱动（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ρ_{ga}</w:t>
      </w:r>
      <w:r>
        <w:rPr>
          <w:rFonts w:ascii="Arial" w:cs="Arial" w:eastAsia="Arial" w:hAnsi="Arial"/>
          <w:sz w:val="22"/>
          <w:szCs w:val="22"/>
        </w:rPr>
        <w:t xml:space="preserve"> 参数），捕捉"政府支出随产出变化"的内生成分。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第三部分：逐方程推导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符号约定（全文统一）：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小写字母 x_t 表示对数线性化后的偏差：x_t ≡ ln X_t - ln X*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γ</w:t>
      </w:r>
      <w:r>
        <w:rPr>
          <w:rFonts w:ascii="Arial" w:cs="Arial" w:eastAsia="Arial" w:hAnsi="Arial"/>
          <w:sz w:val="22"/>
          <w:szCs w:val="22"/>
        </w:rPr>
        <w:t xml:space="preserve"> = 稳态增长率（劳动增广技术进步）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β̃ ≡ β·γ^{1-σ_c}</w:t>
      </w:r>
      <w:r>
        <w:rPr>
          <w:rFonts w:ascii="Arial" w:cs="Arial" w:eastAsia="Arial" w:hAnsi="Arial"/>
          <w:sz w:val="22"/>
          <w:szCs w:val="22"/>
        </w:rPr>
        <w:t xml:space="preserve">，即增长调整后的有效折现因子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π̄</w:t>
      </w:r>
      <w:r>
        <w:rPr>
          <w:rFonts w:ascii="Arial" w:cs="Arial" w:eastAsia="Arial" w:hAnsi="Arial"/>
          <w:sz w:val="22"/>
          <w:szCs w:val="22"/>
        </w:rPr>
        <w:t xml:space="preserve"> = 稳态通胀率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1：消费欧拉方程</w:t>
      </w:r>
    </w:p>
    <w:p>
      <w:r>
        <w:rPr>
          <w:rFonts w:ascii="Arial" w:cs="Arial" w:eastAsia="Arial" w:hAnsi="Arial"/>
          <w:sz w:val="22"/>
          <w:szCs w:val="22"/>
        </w:rPr>
        <w:t xml:space="preserve">来源：家庭在预算约束下最大化终身效用，对消费取一阶条件。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效用函数（King-Plosser-Rebelo 形式，含外部习惯形成）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U_t = [(C_t - hC_{t-1})^{1-σ_c} / (1-σ_c)] · exp{[(σ_c-1)/(1+σ_l)] · L_t^{1+σ_l}}</w:t>
      </w:r>
    </w:p>
    <w:p>
      <w:r>
        <w:rPr>
          <w:rFonts w:ascii="Arial" w:cs="Arial" w:eastAsia="Arial" w:hAnsi="Arial"/>
          <w:sz w:val="22"/>
          <w:szCs w:val="22"/>
        </w:rPr>
        <w:t xml:space="preserve">其中 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h ∈ (0,1)</w:t>
      </w:r>
      <w:r>
        <w:rPr>
          <w:rFonts w:ascii="Arial" w:cs="Arial" w:eastAsia="Arial" w:hAnsi="Arial"/>
          <w:sz w:val="22"/>
          <w:szCs w:val="22"/>
        </w:rPr>
        <w:t xml:space="preserve"> 为习惯形成参数，KPR 效用函数保证平衡增长路径存在。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对数线性化结果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c_t = c_1·c_{t-1} + (1-c_1)·E_t[c_{t+1}] + c_2(l_t - E_t[l_{t+1}]) - c_3(r_t - E_t[π_{t+1}] + ε^b_t)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系数的结构含义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表达式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经济含义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h/γ / (1 + h/γ)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习惯形成权重：消费有惯性，不会突然跳变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(σ_c-1)·(W*L*/C*) / [σ_c(1+h/γ)]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劳动-消费互补（σ_c ≠ 1 时存在）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(1-h/γ) / [σ_c(1+h/γ)]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实际利率效应：利率高 → 储蓄多 → 消费少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9E7" w:val="clear"/>
        <w:spacing w:after="0" w:before="120"/>
        <w:ind w:left="180" w:right="18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代码注记（Pfeifer版）：</w:t>
      </w:r>
    </w:p>
    <w:p>
      <w:pPr>
        <w:shd w:fill="FEF9E7" w:val="clear"/>
        <w:spacing w:after="120" w:before="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论文中 ε^b_t 前有系数 c_3，但代码通过重定义 b ≡ c_3·ε^b_t 简化，导致方程4中对应项需相应调整。读代码时注意此重参数化。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2：投资欧拉方程</w:t>
      </w:r>
    </w:p>
    <w:p>
      <w:r>
        <w:rPr>
          <w:rFonts w:ascii="Arial" w:cs="Arial" w:eastAsia="Arial" w:hAnsi="Arial"/>
          <w:sz w:val="22"/>
          <w:szCs w:val="22"/>
        </w:rPr>
        <w:t xml:space="preserve">来源：家庭选择投资 I_t，面临调整成本 S(·)，对 I_t 取一阶条件。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调整成本函数（Christiano-Eichenbaum-Evans 形式）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S(I_t / I_{t-1}) = (φ/2) · (I_t/I_{t-1}/γ - 1)²</w:t>
      </w:r>
    </w:p>
    <w:p>
      <w:r>
        <w:rPr>
          <w:rFonts w:ascii="Arial" w:cs="Arial" w:eastAsia="Arial" w:hAnsi="Arial"/>
          <w:sz w:val="22"/>
          <w:szCs w:val="22"/>
        </w:rPr>
        <w:t xml:space="preserve">稳态处 S(·) = S'(·) = 0，S''(·) = φ &gt; 0。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对数线性化结果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i_t = i_1·i_{t-1} + (1-i_1)·E_t[i_{t+1}] + i_2·q_t + ε^i_t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i_1 = 1/(1+β̃),    i_2 = 1/[(1+β̃)·φ·γ²]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关键特征：</w:t>
      </w:r>
      <w:r>
        <w:rPr>
          <w:rFonts w:ascii="Arial" w:cs="Arial" w:eastAsia="Arial" w:hAnsi="Arial"/>
          <w:sz w:val="22"/>
          <w:szCs w:val="22"/>
        </w:rPr>
        <w:t xml:space="preserve">投资同时依赖过去和预期未来的投资，产生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驼峰状 IRF</w:t>
      </w:r>
      <w:r>
        <w:rPr>
          <w:rFonts w:ascii="Arial" w:cs="Arial" w:eastAsia="Arial" w:hAnsi="Arial"/>
          <w:sz w:val="22"/>
          <w:szCs w:val="22"/>
        </w:rPr>
        <w:t xml:space="preserve">（hump-shaped impulse response）。φ 大 → i_2 小 → 投资对 Tobin's Q 不敏感 → 响应更平滑、更慢。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3：资本价值方程（Tobin's Q）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q_t = q_1·E_t[q_{t+1}] + (1-q_1)·E_t[r^k_{t+1}] - (r_t - E_t[π_{t+1}] + ε^b_t)</w:t>
      </w:r>
    </w:p>
    <w:p>
      <w:r>
        <w:rPr>
          <w:rFonts w:ascii="Arial" w:cs="Arial" w:eastAsia="Arial" w:hAnsi="Arial"/>
          <w:sz w:val="22"/>
          <w:szCs w:val="22"/>
        </w:rPr>
        <w:t xml:space="preserve">Tobin's Q 反映资本的市场价值。若预期资本回报 r^k 高，则 q 高，刺激当期投资。实际利率上升（或风险溢价冲击）使持有资本相对不划算，q 下降。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4：资本积累方程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k_t = k_1·k_{t-1} + (1-k_1)·i_{t-1} + k_2·ε^i_{t-1}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k_1 = (1-δ)/γ,    k_2 = [1-(1-δ)/γ]·(1+β̃)·φ·γ²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为什么是 i_{t-1}：</w:t>
      </w:r>
      <w:r>
        <w:rPr>
          <w:rFonts w:ascii="Arial" w:cs="Arial" w:eastAsia="Arial" w:hAnsi="Arial"/>
          <w:sz w:val="22"/>
          <w:szCs w:val="22"/>
        </w:rPr>
        <w:t xml:space="preserve">资本积累有一期滞后（"time-to-build"），当期投资下期才变成资本。这与 CEE (2005) 一致。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5：资本服务方程（可变资本利用率）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u_t = [(1-ψ)/ψ] · r^k_t</w:t>
      </w:r>
    </w:p>
    <w:p>
      <w:r>
        <w:rPr>
          <w:rFonts w:ascii="Arial" w:cs="Arial" w:eastAsia="Arial" w:hAnsi="Arial"/>
          <w:sz w:val="22"/>
          <w:szCs w:val="22"/>
        </w:rPr>
        <w:t xml:space="preserve">资本服务（有效资本）= 利用率 × 资本存量：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k^s_t = u_t + k_{t-1}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ψ 取值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 → 0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利用率对资本回报极敏感（近乎完全弹性），资本扩展容量大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 → 1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利用率几乎固定（调整成本极大），接近固定资本利用率的 RBC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 ≈ 0.54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SW2007 后验均值，意味着中度可变利用率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6：产出方程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Y_t = A_t · (K^s_t)^α · L_t^{1-α} - Φ    (Φ 为固定成本)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y_t = φ_p · (α·k^s_t + (1-α)·l_t + ε^a_t)    (φ_p = 1 + Φ/Y* &gt; 1)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要素市场均衡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r^k_t = -(k^s_t - l_t) + w_t + ε^a_t    (资本边际产品 = 实际租金率)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7：新凯恩斯菲利普斯曲线（价格）</w:t>
      </w:r>
    </w:p>
    <w:p>
      <w:r>
        <w:rPr>
          <w:rFonts w:ascii="Arial" w:cs="Arial" w:eastAsia="Arial" w:hAnsi="Arial"/>
          <w:sz w:val="22"/>
          <w:szCs w:val="22"/>
        </w:rPr>
        <w:t xml:space="preserve">来源：中间品厂商 Calvo 价格设定 + 部分价格指数化 + Kimball (1995) 广义加总器。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对数线性化结果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π_t = π_1·π_{t-1} + π_2·E_t[π_{t+1}] - π_3·μ^p_t + ε^p_t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π_1 = ι_p/(1+β̃·ι_p),    π_2 = β̃/(1+β̃·ι_p)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π_1·π_{t-1}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后向惯性：来自价格指数化（ι_p &gt; 0 时存在），解释通胀持续性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π_2·E_t[π_{t+1}]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前向预期：纯 Calvo 模型的 NK 成分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-π_3·μ^p_t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边际成本：实际通胀压力来源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+ε^p_t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价格加成冲击：供给侧扰动，独立于需求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BF5FB" w:val="clear"/>
        <w:spacing w:after="0" w:before="120"/>
        <w:ind w:left="180" w:right="18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Kimball 聚合器的作用：</w:t>
      </w:r>
    </w:p>
    <w:p>
      <w:pPr>
        <w:shd w:fill="EBF5FB" w:val="clear"/>
        <w:spacing w:after="120" w:before="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Kimball (1995) 加总器使需求弹性不再固定，而是价格的函数。参数 κ_p 控制"实际刚性"（real rigidity），允许 ξ_p 估计值更小，与微观价格变动频率数据更一致。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8：工资菲利普斯曲线</w:t>
      </w:r>
    </w:p>
    <w:p>
      <w:r>
        <w:rPr>
          <w:rFonts w:ascii="Arial" w:cs="Arial" w:eastAsia="Arial" w:hAnsi="Arial"/>
          <w:sz w:val="22"/>
          <w:szCs w:val="22"/>
        </w:rPr>
        <w:t xml:space="preserve">来源：劳务中介商（工会）Calvo 工资谈判 + 部分工资指数化 + Kimball 聚合器。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w_t = w_1·w_{t-1} + (1-w_1)·(E_t[w_{t+1}]+E_t[π_{t+1}]) - w_2·π_t + w_3·π_{t-1} - w_4·μ^w_t + ε^w_t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实际工资加成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μ^w_t = w_t - [σ_l·l_t + (c_t - h/γ·c_{t-1})/(1-h/γ)]</w:t>
      </w:r>
    </w:p>
    <w:p>
      <w:r>
        <w:rPr>
          <w:rFonts w:ascii="Arial" w:cs="Arial" w:eastAsia="Arial" w:hAnsi="Arial"/>
          <w:sz w:val="22"/>
          <w:szCs w:val="22"/>
        </w:rPr>
        <w:t xml:space="preserve">工资加成 μ^w_t 度量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工资高于劳动边际替代率的程度</w:t>
      </w:r>
      <w:r>
        <w:rPr>
          <w:rFonts w:ascii="Arial" w:cs="Arial" w:eastAsia="Arial" w:hAnsi="Arial"/>
          <w:sz w:val="22"/>
          <w:szCs w:val="22"/>
        </w:rPr>
        <w:t xml:space="preserve">。正的工资加成冲击 → 雇佣成本上升 → 总供给收缩。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9：货币政策规则（Taylor 规则）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r_t = ρ·r_{t-1} + (1-ρ)·[ψ_1·π_t + ψ_2·(y_t-y^f_t)] + ψ_3·Δ(y_t-y^f_t) + ε^r_t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系数（后验均值）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ρ·r_{t-1}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 ≈ 0.81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利率平滑：避免利率剧烈波动，反映央行渐进主义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ψ_1·π_t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ψ_1 ≈ 2.03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通胀反应：ψ_1 &gt; 1 满足 Taylor 原则，确保均衡唯一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ψ_2·(y-y^f)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ψ_2 ≈ 0.08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产出缺口反应：对弹性价格均衡产出的偏差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ψ_3·Δ(y-y^f)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ψ_3 ≈ 0.22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产出缺口变化率：对经济动态的快速响应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ε^r_t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货币政策冲击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方程 10：市场出清</w:t>
      </w:r>
    </w:p>
    <w:p>
      <w:pPr>
        <w:pBdr>
          <w:left w:val="single" w:color="4472C4" w:sz="6"/>
        </w:pBd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y_t = c_y·c_t + i_y·i_t + u_y·u_t + ε^g_t</w:t>
      </w:r>
    </w:p>
    <w:p>
      <w:r>
        <w:rPr>
          <w:rFonts w:ascii="Arial" w:cs="Arial" w:eastAsia="Arial" w:hAnsi="Arial"/>
          <w:sz w:val="22"/>
          <w:szCs w:val="22"/>
        </w:rPr>
        <w:t xml:space="preserve">其中 u_y·u_t 项体现可变资本利用率的折旧成本变化进入资源约束。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第四部分：稳态与增长路径处理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从非平稳到平稳</w:t>
      </w:r>
    </w:p>
    <w:p>
      <w:r>
        <w:rPr>
          <w:rFonts w:ascii="Arial" w:cs="Arial" w:eastAsia="Arial" w:hAnsi="Arial"/>
          <w:sz w:val="22"/>
          <w:szCs w:val="22"/>
        </w:rPr>
        <w:t xml:space="preserve">假设劳动增广技术进步：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A_t = γ^t · Ã_t</w:t>
      </w:r>
      <w:r>
        <w:rPr>
          <w:rFonts w:ascii="Arial" w:cs="Arial" w:eastAsia="Arial" w:hAnsi="Arial"/>
          <w:sz w:val="22"/>
          <w:szCs w:val="22"/>
        </w:rPr>
        <w:t xml:space="preserve">，对所有变量除以 A_t 去趋势化，使变量在稳态附近平稳。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关键稳态关系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关系式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β̃ ≡ β·γ^{1-σ_c}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增长调整后的有效折现因子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r^{k*} = β̃^{-1}·γ^{σ_c} - (1-δ)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稳态资本租金率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π̄ = π*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稳态通胀（待估参数之一）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W*/Y* = (1-α)/φ_p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稳态劳动份额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观测方程（连接模型与数据）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可观测变量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模型变量映射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Δln GDP_t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+ ŷ_t - ŷ_{t-1} + ε^a_t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Δln C_t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+ ĉ_t - ĉ_{t-1} + ε^a_t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Δln I_t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+ î_t - î_{t-1} + ε^a_t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ln(L_t)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l̄ + l̂_t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Δln W_t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+ ŵ_t - ŵ_{t-1} + ε^a_t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π̄ + π̂_t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r̄ + r̂_t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第五部分：贝叶斯估计流程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固定参数（直接校准）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δ（折旧率）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年折旧10%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α（资本份额）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含固定成本后较小（非传统的1/3）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g*（政府份额）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G/Y 稳态比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λ_w（工资加成）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稳态工资加成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估计参数的先验分布（Table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900"/>
        <w:gridCol w:w="900"/>
        <w:gridCol w:w="34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分布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均值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标准差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先验理由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跨期替代弹性倒数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微观估计 1–2 之间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习惯形成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宏观估计文献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Frisch弹性倒数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微观劳动文献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 Calvo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Bils-Klenow 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ι_p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价格指数化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无强先验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 Calvo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与价格对称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投资调整成本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CEE(2005) 估计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资本利用率弹性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无强先验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ρ_*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各冲击持续性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0.200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宽先验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各冲击标准差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InvGamma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严格正值约束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MH-MCMC 实施步骤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模式搜索：</w:t>
      </w:r>
      <w:r>
        <w:rPr>
          <w:rFonts w:ascii="Arial" w:cs="Arial" w:eastAsia="Arial" w:hAnsi="Arial"/>
          <w:sz w:val="22"/>
          <w:szCs w:val="22"/>
        </w:rPr>
        <w:t xml:space="preserve">用数值优化（csminwel）找到后验众数 θ̂_MAP，在此处计算 Hessian 矩阵 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协方差设定：</w:t>
      </w:r>
      <w:r>
        <w:rPr>
          <w:rFonts w:ascii="Arial" w:cs="Arial" w:eastAsia="Arial" w:hAnsi="Arial"/>
          <w:sz w:val="22"/>
          <w:szCs w:val="22"/>
        </w:rPr>
        <w:t xml:space="preserve">提议分布 θ* ~ N(θ_current, c²·(-H)^{-1})，尺度因子 c（即 mh_jscale）调整接受率至 ~25%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MCMC 抽样：</w:t>
      </w:r>
      <w:r>
        <w:rPr>
          <w:rFonts w:ascii="Arial" w:cs="Arial" w:eastAsia="Arial" w:hAnsi="Arial"/>
          <w:sz w:val="22"/>
          <w:szCs w:val="22"/>
        </w:rPr>
        <w:t xml:space="preserve">2 条链，各抽 1,000,000 次；前 500,000 次（burn-in）丢弃；后 500,000 次用于推断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收敛诊断：</w:t>
      </w:r>
      <w:r>
        <w:rPr>
          <w:rFonts w:ascii="Arial" w:cs="Arial" w:eastAsia="Arial" w:hAnsi="Arial"/>
          <w:sz w:val="22"/>
          <w:szCs w:val="22"/>
        </w:rPr>
        <w:t xml:space="preserve">Trace plot 像"毛毛虫"；Geweke(1992) 检验；接受率应在 15%–35%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第六部分：Dynare 代码逐行解读</w:t>
      </w:r>
    </w:p>
    <w:p>
      <w:r>
        <w:rPr>
          <w:rFonts w:ascii="Arial" w:cs="Arial" w:eastAsia="Arial" w:hAnsi="Arial"/>
          <w:sz w:val="22"/>
          <w:szCs w:val="22"/>
        </w:rPr>
        <w:t xml:space="preserve">以下展示核心代码结构，附详细注释。完整代码见 Pfeifer 版：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Smets_Wouters_2007_45.mod</w:t>
      </w:r>
      <w:r>
        <w:rPr>
          <w:rFonts w:ascii="Arial" w:cs="Arial" w:eastAsia="Arial" w:hAnsi="Arial"/>
          <w:sz w:val="22"/>
          <w:szCs w:val="22"/>
        </w:rPr>
        <w:t xml:space="preserve">（GitHub: JohannesPfeifer/DSGE_mod）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变量声明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Smets &amp; Wouters (2007) AER · Dynare 4.5+ 版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var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可观测变量（直接与数据对接）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labobs  // 劳动小时（对数水平）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robs    // 名义利率（季度化）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pinfobs // 季度通胀率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dy      // GDP增长率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dc      // 消费增长率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dinve   // 投资增长率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dw      // 实际工资增长率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模型内部变量（不直接观测）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 inve y k pinf w lab r rk q mc zcap kp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弹性价格版变量（f后缀，用于计算产出缺口）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cf yf labf rkf wf pinff mcf zcapf kpf invef qf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冲击过程（状态变量）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a b g qs ms spinf sw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varexo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ea eb eg eqs em epinf ew  // 7个白噪声冲击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核心模型方程（model 块）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model;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① 消费欧拉方程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 = (chabb/cgamma)/(1+chabb/cgamma) * c(-1)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+ 1/(1+chabb/cgamma) * c(+1)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(csigma-1)*cwhlc/(csigma*(1+chabb/cgamma)) * (lab-lab(+1))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 csigmai * (r - pinf(+1) + b)      // 实际利率+风险溢价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csigmai * b(+1);                  // 风险溢价前瞻项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② 投资欧拉方程（双向时间依赖 → 驼峰状IRF）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inve = 1/(1+cbetabar*cgamma) * inve(-1)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+ cbetabar*cgamma/(1+cbetabar*cgamma) * inve(+1)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+ 1/((1+cbetabar*cgamma)*cfacsps*cgamma^2) * q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+ qs;   // 投资特定技术冲击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③ 资本价值（Tobin's Q）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q = cbetabar*cgamma*(1-ctou)/(qden) * q(+1)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(1-cbetabar*cgamma*(1-ctou))/(qden) * rk(+1)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 (r - pinf(+1) + b);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④ 资本积累（一期时滞：i_{t-1}而非i_t）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kp = (1-cikbar)/cgamma * kp(-1)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+ cikbar * inve(-1)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+ cikbar*(1+cbetabar*cgamma)*cfacsps*cgamma^2 * qs(-1);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⑤ 资本利用率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zcap = (1-czcap)/czcap * rk;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⑥ 产出（含固定成本加成）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y = cfc*(calfa*(kp(-1)+zcap) + (1-calfa)*lab + a);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⑦ NK菲利普斯曲线（含Calvo+指数化+Kimball）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pinf = 1/(1+cbetabar*cindp) * (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cindp * pinf(-1)               // 后向指数化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+ cbetabar * pinf(+1)            // 前向NK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- pc_slope * mc                  // 边际成本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) + spinf;                     // 价格加成冲击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⑧ 工资菲利普斯曲线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w = 1/(1+cbetabar) * w(-1)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cbetabar/(1+cbetabar) * (w(+1)+pinf(+1))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 (1+cbetabar*cindw)/(1+cbetabar) * pinf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cindw/(1+cbetabar) * pinf(-1)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 wpc_slope * (w - MRS)            // 工资加成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sw;                              // 工资加成冲击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⑨ Taylor规则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r = crr*r(-1)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(1-crr)*(crpi*pinf + cry*(y-yf)) // 通胀+产出缺口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crdy*((y-yf)-(y(-1)-yf(-1)))     // 缺口变化率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+ ms;                              // 货币政策冲击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⑩ 市场出清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y = ccy*c + ciy*inve + cgy*g + crkky*zcap;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冲击过程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    = crhoa*a(-1)    + ea;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    = crhob*b(-1)    + eb;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    = crhog*g(-1)    + eg + crhoga*ea;  // G与TFP联动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qs   = crhoqs*qs(-1)  + eqs;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ms   = crhoms*ms(-1)  + em;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spinf = crhopinf*spinf(-1) + epinf - cmap*epinf(-1);  // ARMA(1,1)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sw   = crhow*sw(-1)   + ew - cmaw*ew(-1);             // ARMA(1,1)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观测方程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dy    = y - y(-1) + a;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pinfobs = pinf + constepinf;  // +稳态通胀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robs    = r    + conster;     // +稳态利率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labobs  = lab  + constelab;   // +稳态劳动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end;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估计命令块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estimated_params;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csigma,   normal_pdf,   1.50, 0.375;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chabb,    beta_pdf,     0.70, 0.100;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cprobw,   beta_pdf,     0.50, 0.100;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csigl,    normal_pdf,   2.00, 0.750;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cprobp,   beta_pdf,     0.50, 0.100;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cindw,    beta_pdf,     0.50, 0.150;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cindp,    beta_pdf,     0.50, 0.150;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czcap,    beta_pdf,     0.50, 0.150;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cfacsps,  normal_pdf,   4.00, 1.500;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crpi,     normal_pdf,   1.50, 0.250;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crr,      beta_pdf,     0.75, 0.100;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cry,      normal_pdf,   0.125, 0.050;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crdy,     normal_pdf,   0.125, 0.050;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冲击持续性（均为Beta先验）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crhoa, crhob, crhog, crhoqs, crhoms, crhopinf, crhow,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            beta_pdf, 0.50, 0.20;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crhoga,   normal_pdf, 0.50, 0.25;   // 注意：Normal，非Beta！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cmap, cmaw, beta_pdf, 0.50, 0.20;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冲击标准差（InvGamma先验）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stderr ea, eb, eg, eqs, em, epinf, ew,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            inv_gamma_pdf, 0.10, 2.00;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稳态参数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constepinf, normal_pdf, 0.625, 0.10;  // 季度稳态通胀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conster,    normal_pdf, 0.625, 0.10;  // 季度稳态利率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constelab,  normal_pdf, 0.000, 2.00;  // 宽先验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cgamma,     normal_pdf, 0.400, 0.10;  // 季度增长率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end;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varobs dy dc dinve labobs dw pinfobs robs;  // 7个可观测变量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estimation(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datafile   = usmodel_data,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mode_check,              // 验证众数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mh_nblocks = 2,          // 2条MCMC链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mh_replic  = 100000,     // 每条10万次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mh_jscale  = 0.20,       // 步长调节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mh_drop    = 0.5,        // 前50%为burn-in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bayesian_irf,            // 后验IRF置信区间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smoother,                // Kalman平滑（历史冲击分解）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forecast   = 8           // 8期样本外预测</w:t>
      </w:r>
    </w:p>
    <w:p>
      <w:pPr>
        <w:shd w:fill="1E1E2E" w:val="clear"/>
        <w:spacing w:after="0" w:before="0"/>
        <w:ind w:left="12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第七部分：主要结果解读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1：先验与后验对比（关键参数）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000"/>
        <w:gridCol w:w="31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先验均值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后验均值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后验90%CI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h（习惯形成）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[0.63, 0.79]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数据强烈支持高习惯形成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ξ_p（价格Calvo）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[0.56, 0.74]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价格平均约3季度调一次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ξ_w（工资Calvo）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[0.65, 0.82]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工资比价格更粘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ι_p（价格指数化）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[0.10, 0.37]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部分指数化，但不完全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φ（投调成本）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[4.25, 7.04]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投资调整成本较高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ψ（利用率弹性）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[0.37, 0.71]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中度可变利用率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ρ（利率平滑）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[0.76, 0.86]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央行惯性显著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ψ_1（Taylor通胀）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[1.68, 2.35]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强烈满足 Taylor 原则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DEDEC" w:val="clear"/>
        <w:spacing w:after="0" w:before="120"/>
        <w:ind w:left="180" w:right="1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重要勘误（Pfeifer 发现）：</w:t>
      </w:r>
    </w:p>
    <w:p>
      <w:pPr>
        <w:shd w:fill="FDEDEC" w:val="clear"/>
        <w:spacing w:after="120" w:before="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SW2007 原文报告的后验众数并非真正的众数——数值优化收敛到了局部最大值。constepinf（稳态通胀）的后验均值在正确估计下略低于原文。这提醒我们：大型 DSGE 的后验面景复杂，模式搜索需要多起始点。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货币政策冲击的脉冲响应（Figure 6）</w:t>
      </w:r>
    </w:p>
    <w:p>
      <w:r>
        <w:rPr>
          <w:rFonts w:ascii="Arial" w:cs="Arial" w:eastAsia="Arial" w:hAnsi="Arial"/>
          <w:sz w:val="22"/>
          <w:szCs w:val="22"/>
        </w:rPr>
        <w:t xml:space="preserve">货币紧缩冲击（利率上升25bp）的动态：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8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1期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4期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8期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关键特征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驼峰状，约5-6季度见底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略滞后GDP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反应最大、最快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通胀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-0.08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极慢！体现价格粘性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实际工资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小幅下降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驼峰状IRF的来源：</w:t>
      </w:r>
      <w:r>
        <w:rPr>
          <w:rFonts w:ascii="Arial" w:cs="Arial" w:eastAsia="Arial" w:hAnsi="Arial"/>
          <w:sz w:val="22"/>
          <w:szCs w:val="22"/>
        </w:rPr>
        <w:t xml:space="preserve">投资调整成本（φ）和习惯形成（h）使响应峰值推迟到4–6季度而非当期。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方差分解：商业周期的驱动力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冲击类型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对产出波动的贡献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对通胀波动的贡献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TFP冲击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~35%（最大）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风险溢价冲击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~15%（短期消费）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价格加成冲击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~30%（最大）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货币政策冲击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~4%（有限）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投资技术冲击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预测性能：击败 VAR</w:t>
      </w:r>
    </w:p>
    <w:p>
      <w:r>
        <w:rPr>
          <w:rFonts w:ascii="Arial" w:cs="Arial" w:eastAsia="Arial" w:hAnsi="Arial"/>
          <w:sz w:val="22"/>
          <w:szCs w:val="22"/>
        </w:rPr>
        <w:t xml:space="preserve">在 1990:Q1–2004:Q4 的样本外预测中，DSGE 模型的总体预测表现能够与贝叶斯 VAR(4) 相媲美（以预测误差协方差矩阵的对数行列式衡量）。这一结果改变了学界对 DSGE 模型实用价值的认知，是论文最大的贡献之一。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第八部分：复现检查清单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数据准备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下载 AEA 官网复现数据（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usmodel_data.mat</w:t>
      </w:r>
      <w:r>
        <w:rPr>
          <w:rFonts w:ascii="Arial" w:cs="Arial" w:eastAsia="Arial" w:hAnsi="Arial"/>
          <w:sz w:val="22"/>
          <w:szCs w:val="22"/>
        </w:rPr>
        <w:t xml:space="preserve">，1966:Q1–2004:Q4）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核对 7 个变量：GDP、消费、投资增长率（人均、实际）；劳动小时（对数水平）；实际工资增长率；GDP 平减指数通胀率；联邦基金利率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数据均为季度频率，利率和通胀已季度化（÷4）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代码运行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安装 Dynare 4.5+ 和 MATLAB 或 Octave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下载 Pfeifer 版 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Smets_Wouters_2007_45.mod</w:t>
      </w:r>
      <w:r>
        <w:rPr>
          <w:rFonts w:ascii="Arial" w:cs="Arial" w:eastAsia="Arial" w:hAnsi="Arial"/>
          <w:sz w:val="22"/>
          <w:szCs w:val="22"/>
        </w:rPr>
        <w:t xml:space="preserve">（GitHub: JohannesPfeifer/DSGE_mod）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首次运行设置 </w:t>
      </w:r>
      <w:r>
        <w:rPr>
          <w:rFonts w:ascii="Courier New" w:cs="Courier New" w:eastAsia="Courier New" w:hAnsi="Courier New"/>
          <w:color w:val="4472C4"/>
          <w:sz w:val="18"/>
          <w:szCs w:val="18"/>
        </w:rPr>
        <w:t xml:space="preserve">mh_replic = 10000</w:t>
      </w:r>
      <w:r>
        <w:rPr>
          <w:rFonts w:ascii="Arial" w:cs="Arial" w:eastAsia="Arial" w:hAnsi="Arial"/>
          <w:sz w:val="22"/>
          <w:szCs w:val="22"/>
        </w:rPr>
        <w:t xml:space="preserve"> 快速测试，确认无报错后再增至 100000+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结果核对目标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Blanchard-Kahn 条件：</w:t>
      </w:r>
      <w:r>
        <w:rPr>
          <w:rFonts w:ascii="Arial" w:cs="Arial" w:eastAsia="Arial" w:hAnsi="Arial"/>
          <w:sz w:val="22"/>
          <w:szCs w:val="22"/>
        </w:rPr>
        <w:t xml:space="preserve">Dynare 应显示 "Model is determinate"，特征值数量等于前定变量数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1A 结构参数：</w:t>
      </w:r>
      <w:r>
        <w:rPr>
          <w:rFonts w:ascii="Arial" w:cs="Arial" w:eastAsia="Arial" w:hAnsi="Arial"/>
          <w:sz w:val="22"/>
          <w:szCs w:val="22"/>
        </w:rPr>
        <w:t xml:space="preserve">后验均值与论文 Table 1 对比，允许因 mode 问题有小幅偏差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1B 勘误：</w:t>
      </w:r>
      <w:r>
        <w:rPr>
          <w:rFonts w:ascii="Arial" w:cs="Arial" w:eastAsia="Arial" w:hAnsi="Arial"/>
          <w:sz w:val="22"/>
          <w:szCs w:val="22"/>
        </w:rPr>
        <w:t xml:space="preserve">注意 ρ_{ga} 在代码中实为 Normal 分布，论文标注有误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IRF 形状：</w:t>
      </w:r>
      <w:r>
        <w:rPr>
          <w:rFonts w:ascii="Arial" w:cs="Arial" w:eastAsia="Arial" w:hAnsi="Arial"/>
          <w:sz w:val="22"/>
          <w:szCs w:val="22"/>
        </w:rPr>
        <w:t xml:space="preserve">货币冲击后 GDP 驼峰状下降，通胀缓慢响应，投资响应最大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MH 接受率：</w:t>
      </w:r>
      <w:r>
        <w:rPr>
          <w:rFonts w:ascii="Arial" w:cs="Arial" w:eastAsia="Arial" w:hAnsi="Arial"/>
          <w:sz w:val="22"/>
          <w:szCs w:val="22"/>
        </w:rPr>
        <w:t xml:space="preserve">应在 15%–35% 之间，Trace plot 无明显趋势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常见问题排查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BK条件不满足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Taylor原则被违反（ψ_1 &lt; 1）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crpi 初始值，确保 &gt; 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似然为 -Inf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数据维度与 varobs 不匹配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核对 .mat 文件变量名与顺序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MH接受率 &lt; 5%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mh_jscale 过大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减小至 0.1–0.2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MH接受率 &gt; 60%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mh_jscale 过小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增大至 0.3–0.5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后验众数偏差大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局部最优问题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多起始点重新寻优（mode_compute=6）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ARMA参数问题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ρ_p+μ_p 接近单位圆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spinf、sw 参数先验设定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扩展阅读路径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从 SW2007 出发的研究方向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大型模型扩展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Christoffel, Coenen &amp; Warne (2008) → ECB 的 NAWM 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Edge, Kiley &amp; Laforte (2007) → 美联储 EDO 模型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金融摩擦扩展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BGG (1999) 嵌入 SW → Christensen &amp; Dib (2008)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银行部门 → Gertler &amp; Kiyotaki (2010)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开放经济扩展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Adolfson et al. (2007) → RAMSES（瑞典央行）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Galí &amp; Monacelli (2005) → 小型开放经济框架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非线性 / ZLB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SW 基础上加 OccBin → 零利率约束分析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Eggertsson &amp; Woodford (2003) → ZLB 的理论分析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HANK 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Kaplan, Moll &amp; Violante (2018, AER) → 分布动态与货币传导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4"/>
        </w:pBd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参考文献：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Smets, F. &amp; Wouters, R. (2007). Shocks and Frictions in US Business Cycles: A Bayesian DSGE Approach.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American Economic Review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, 97(3), 586–606.</w:t>
      </w:r>
    </w:p>
    <w:p>
      <w:r>
        <w:rPr>
          <w:rFonts w:ascii="Arial" w:cs="Arial" w:eastAsia="Arial" w:hAnsi="Arial"/>
          <w:color w:val="7F8C8D"/>
          <w:sz w:val="18"/>
          <w:szCs w:val="18"/>
        </w:rPr>
        <w:t xml:space="preserve">Dynare 代码：JohannesPfeifer/DSGE_mod (GitHub) · Smets_Wouters_2007_45.mod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  <w:tabs>
        <w:tab w:val="right" w:pos="9360"/>
      </w:tabs>
    </w:pPr>
    <w:r>
      <w:rPr>
        <w:rFonts w:ascii="Arial" w:cs="Arial" w:eastAsia="Arial" w:hAnsi="Arial"/>
        <w:color w:val="7F8C8D"/>
        <w:sz w:val="16"/>
        <w:szCs w:val="16"/>
      </w:rPr>
      <w:t xml:space="preserve">Smets &amp; Wouters (2007) · AER 97(3)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SW2007 精读笔记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Bayesian DSGE 建模方法论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20" w:before="2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2026-04-05T09:07:34.251Z</dcterms:created>
  <dcterms:modified xsi:type="dcterms:W3CDTF">2026-04-05T09:07:34.252Z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