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5104ff12ac86407e"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c9c15fc0f820427b"/>
                    <a:stretch>
                      <a:fillRect/>
                    </a:stretch>
                  </pic:blipFill>
                  <pic:spPr>
                    <a:xfrm>
                      <a:off x="0" y="0"/>
                      <a:ext cx="7560000" cy="10692000"/>
                    </a:xfrm>
                    <a:prstGeom prst="rect"/>
                  </pic:spPr>
                </pic:pic>
              </a:graphicData>
            </a:graphic>
          </wp:anchor>
        </w:drawing>
      </w:r>
    </w:p>
    <w:p>
      <w:pPr>
        <w:spacing w:before="5500"/>
      </w:pPr>
      <w:r/>
    </w:p>
    <w:p>
      <w:pPr>
        <w:spacing w:after="300"/>
        <w:ind w:left="1200" w:right="1200"/>
      </w:pPr>
      <w:r>
        <w:rPr>
          <w:rFonts w:ascii="Calibri" w:hAnsi="Calibri" w:eastAsia="Microsoft YaHei"/>
          <w:b/>
          <w:color w:val="1f4e79"/>
          <w:spacing w:val="40"/>
          <w:sz w:val="64"/>
        </w:rPr>
        <w:t>本体论在计算机领域</w:t>
      </w:r>
    </w:p>
    <w:p>
      <w:pPr>
        <w:spacing w:after="3000"/>
        <w:ind w:left="1200" w:right="1200"/>
      </w:pPr>
      <w:r>
        <w:rPr>
          <w:rFonts w:ascii="Calibri" w:hAnsi="Calibri" w:eastAsia="Microsoft YaHei"/>
          <w:b/>
          <w:color w:val="1f4e79"/>
          <w:spacing w:val="40"/>
          <w:sz w:val="64"/>
        </w:rPr>
        <w:t>应用情况分析报告</w:t>
      </w:r>
    </w:p>
    <w:p>
      <w:pPr>
        <w:ind w:left="1200"/>
      </w:pPr>
      <w:r>
        <w:rPr>
          <w:rFonts w:ascii="Calibri" w:hAnsi="Calibri" w:eastAsia="Microsoft YaHei"/>
          <w:color w:val="666666"/>
          <w:sz w:val="22"/>
        </w:rPr>
        <w:t>深度研究 | 2025年5月</w:t>
      </w:r>
    </w:p>
    <w:p>
      <w:pPr>
        <w:sectPr>
          <w:type w:val="nextPage"/>
          <w:pgSz w:w="11906" w:h="16838"/>
          <w:pgMar w:top="0" w:right="0" w:bottom="0" w:left="0" w:header="0" w:footer="0"/>
          <w:titlePg/>
        </w:sectPr>
      </w:pPr>
    </w:p>
    <w:p>
      <w:pPr>
        <w:pStyle w:val="Heading1"/>
        <w:ind w:firstLine="0"/>
      </w:pPr>
      <w:r>
        <w:t>目录</w:t>
      </w:r>
    </w:p>
    <w:p>
      <w:pPr>
        <w:spacing w:after="300"/>
      </w:pPr>
      <w:r>
        <w:rPr>
          <w:rFonts w:ascii="Calibri" w:hAnsi="Calibri" w:eastAsia="Microsoft YaHei"/>
          <w:color w:val="999999"/>
          <w:sz w:val="18"/>
        </w:rPr>
        <w:t>右键目录，选择"更新域"刷新页码</w:t>
      </w:r>
    </w:p>
    <w:p>
      <w:r>
        <w:fldChar w:fldCharType="begin"/>
      </w:r>
      <w:r>
        <w:instrText xml:space="preserve"> TOC \o "1-3" \h \z \u </w:instrText>
      </w:r>
      <w:r>
        <w:fldChar w:fldCharType="separate"/>
      </w:r>
    </w:p>
    <w:p>
      <w:pPr>
        <w:pStyle w:val="TOC1"/>
      </w:pPr>
      <w:r>
        <w:t>执行摘要</w:t>
      </w:r>
      <w:r>
        <w:tab/>
      </w:r>
      <w:r>
        <w:t>1</w:t>
      </w:r>
    </w:p>
    <w:p>
      <w:pPr>
        <w:pStyle w:val="TOC1"/>
      </w:pPr>
      <w:r>
        <w:t>1. 本体论在计算机科学中的定义与理论基础</w:t>
      </w:r>
      <w:r>
        <w:tab/>
      </w:r>
      <w:r>
        <w:t>3</w:t>
      </w:r>
    </w:p>
    <w:p>
      <w:pPr>
        <w:pStyle w:val="TOC2"/>
      </w:pPr>
      <w:r>
        <w:t>1.1 核心概念的形式化定义</w:t>
      </w:r>
      <w:r>
        <w:tab/>
      </w:r>
      <w:r>
        <w:t>3</w:t>
      </w:r>
    </w:p>
    <w:p>
      <w:pPr>
        <w:pStyle w:val="TOC2"/>
      </w:pPr>
      <w:r>
        <w:t>1.2 形式化表征与逻辑基础</w:t>
      </w:r>
      <w:r>
        <w:tab/>
      </w:r>
      <w:r>
        <w:t>4</w:t>
      </w:r>
    </w:p>
    <w:p>
      <w:pPr>
        <w:pStyle w:val="TOC2"/>
      </w:pPr>
      <w:r>
        <w:t>1.3 标准化语言体系与技术栈</w:t>
      </w:r>
      <w:r>
        <w:tab/>
      </w:r>
      <w:r>
        <w:t>5</w:t>
      </w:r>
    </w:p>
    <w:p>
      <w:pPr>
        <w:pStyle w:val="TOC1"/>
      </w:pPr>
      <w:r>
        <w:t>2. 主要应用场景与应用价值</w:t>
      </w:r>
      <w:r>
        <w:tab/>
      </w:r>
      <w:r>
        <w:t>6</w:t>
      </w:r>
    </w:p>
    <w:p>
      <w:pPr>
        <w:pStyle w:val="TOC2"/>
      </w:pPr>
      <w:r>
        <w:t>2.1 知识图谱与语义网络构建</w:t>
      </w:r>
      <w:r>
        <w:tab/>
      </w:r>
      <w:r>
        <w:t>6</w:t>
      </w:r>
    </w:p>
    <w:p>
      <w:pPr>
        <w:pStyle w:val="TOC2"/>
      </w:pPr>
      <w:r>
        <w:t>2.2 智能推理与决策支持</w:t>
      </w:r>
      <w:r>
        <w:tab/>
      </w:r>
      <w:r>
        <w:t>7</w:t>
      </w:r>
    </w:p>
    <w:p>
      <w:pPr>
        <w:pStyle w:val="TOC2"/>
      </w:pPr>
      <w:r>
        <w:t>2.3 数据互操作与语义集成</w:t>
      </w:r>
      <w:r>
        <w:tab/>
      </w:r>
      <w:r>
        <w:t>8</w:t>
      </w:r>
    </w:p>
    <w:p>
      <w:pPr>
        <w:pStyle w:val="TOC2"/>
      </w:pPr>
      <w:r>
        <w:t>2.4 应用价值矩阵分析</w:t>
      </w:r>
      <w:r>
        <w:tab/>
      </w:r>
      <w:r>
        <w:t>9</w:t>
      </w:r>
    </w:p>
    <w:p>
      <w:pPr>
        <w:pStyle w:val="TOC1"/>
      </w:pPr>
      <w:r>
        <w:t>3. 典型应用案例深度分析</w:t>
      </w:r>
      <w:r>
        <w:tab/>
      </w:r>
      <w:r>
        <w:t>10</w:t>
      </w:r>
    </w:p>
    <w:p>
      <w:pPr>
        <w:pStyle w:val="TOC2"/>
      </w:pPr>
      <w:r>
        <w:t>3.1 案例一：Palantir AIP</w:t>
      </w:r>
      <w:r>
        <w:tab/>
      </w:r>
      <w:r>
        <w:t>10</w:t>
      </w:r>
    </w:p>
    <w:p>
      <w:pPr>
        <w:pStyle w:val="TOC2"/>
      </w:pPr>
      <w:r>
        <w:t>3.2 案例二：生物医学本体论</w:t>
      </w:r>
      <w:r>
        <w:tab/>
      </w:r>
      <w:r>
        <w:t>12</w:t>
      </w:r>
    </w:p>
    <w:p>
      <w:pPr>
        <w:pStyle w:val="TOC2"/>
      </w:pPr>
      <w:r>
        <w:t>3.3 案例三：建筑信息模型BIM</w:t>
      </w:r>
      <w:r>
        <w:tab/>
      </w:r>
      <w:r>
        <w:t>14</w:t>
      </w:r>
    </w:p>
    <w:p>
      <w:pPr>
        <w:pStyle w:val="TOC1"/>
      </w:pPr>
      <w:r>
        <w:t>4. 工程范式与技术生态</w:t>
      </w:r>
      <w:r>
        <w:tab/>
      </w:r>
      <w:r>
        <w:t>16</w:t>
      </w:r>
    </w:p>
    <w:p>
      <w:pPr>
        <w:pStyle w:val="TOC2"/>
      </w:pPr>
      <w:r>
        <w:t>4.1 本体工程方法论</w:t>
      </w:r>
      <w:r>
        <w:tab/>
      </w:r>
      <w:r>
        <w:t>16</w:t>
      </w:r>
    </w:p>
    <w:p>
      <w:pPr>
        <w:pStyle w:val="TOC2"/>
      </w:pPr>
      <w:r>
        <w:t>4.2 主流工具与平台生态</w:t>
      </w:r>
      <w:r>
        <w:tab/>
      </w:r>
      <w:r>
        <w:t>17</w:t>
      </w:r>
    </w:p>
    <w:p>
      <w:pPr>
        <w:pStyle w:val="TOC2"/>
      </w:pPr>
      <w:r>
        <w:t>4.3 与大型语言模型的融合范式</w:t>
      </w:r>
      <w:r>
        <w:tab/>
      </w:r>
      <w:r>
        <w:t>18</w:t>
      </w:r>
    </w:p>
    <w:p>
      <w:pPr>
        <w:pStyle w:val="TOC1"/>
      </w:pPr>
      <w:r>
        <w:t>5. 业内共识与主要争议问题</w:t>
      </w:r>
      <w:r>
        <w:tab/>
      </w:r>
      <w:r>
        <w:t>20</w:t>
      </w:r>
    </w:p>
    <w:p>
      <w:pPr>
        <w:pStyle w:val="TOC2"/>
      </w:pPr>
      <w:r>
        <w:t>5.1 核心行业共识</w:t>
      </w:r>
      <w:r>
        <w:tab/>
      </w:r>
      <w:r>
        <w:t>20</w:t>
      </w:r>
    </w:p>
    <w:p>
      <w:pPr>
        <w:pStyle w:val="TOC2"/>
      </w:pPr>
      <w:r>
        <w:t>5.2 主要争议问题</w:t>
      </w:r>
      <w:r>
        <w:tab/>
      </w:r>
      <w:r>
        <w:t>21</w:t>
      </w:r>
    </w:p>
    <w:p>
      <w:pPr>
        <w:pStyle w:val="TOC2"/>
      </w:pPr>
      <w:r>
        <w:t>5.3 学术与工业实践的分歧</w:t>
      </w:r>
      <w:r>
        <w:tab/>
      </w:r>
      <w:r>
        <w:t>23</w:t>
      </w:r>
    </w:p>
    <w:p>
      <w:pPr>
        <w:pStyle w:val="TOC1"/>
      </w:pPr>
      <w:r>
        <w:t>6. 近期发展趋势预测</w:t>
      </w:r>
      <w:r>
        <w:tab/>
      </w:r>
      <w:r>
        <w:t>24</w:t>
      </w:r>
    </w:p>
    <w:p>
      <w:pPr>
        <w:pStyle w:val="TOC1"/>
      </w:pPr>
      <w:r>
        <w:t>7. 结论</w:t>
      </w:r>
      <w:r>
        <w:tab/>
      </w:r>
      <w:r>
        <w:t>27</w:t>
      </w:r>
    </w:p>
    <w:p>
      <w:pPr>
        <w:pStyle w:val="TOC1"/>
      </w:pPr>
      <w:r>
        <w:t>参考文献</w:t>
      </w:r>
      <w:r>
        <w:tab/>
      </w:r>
      <w:r>
        <w:t>28</w:t>
      </w:r>
    </w:p>
    <w:p>
      <w:r>
        <w:fldChar w:fldCharType="end"/>
      </w:r>
    </w:p>
    <w:p>
      <w:pPr>
        <w:sectPr>
          <w:type w:val="nextPage"/>
          <w:pgSz w:w="11906" w:h="16838"/>
          <w:pgMar w:top="1800" w:right="1440" w:bottom="1440" w:left="1440" w:header="720" w:footer="720"/>
        </w:sectPr>
      </w:pPr>
    </w:p>
    <w:p>
      <w:pPr>
        <w:pStyle w:val="Heading1"/>
      </w:pPr>
      <w:r>
        <w:t>执行摘要</w:t>
      </w:r>
      <w:bookmarkStart w:name="_Toc001" w:id="1"/>
      <w:bookmarkEnd w:id="1"/>
    </w:p>
    <w:p>
      <w:r>
        <w:t>本体论（Ontology）作为计算机科学中知识表示与语义工程的核心理论基础，已经从早期的哲学概念演变为支撑人工智能、大数据集成与智能决策的关键技术基础设施。当前，全球语义网市场规模预计在2030年将达到77.3亿美元，年复合增长率（CAGR）约为23.3%11，这一增长势头充分反映出本体论相关技术在产业界的渗透深度正在加速扩展。在技术融合层面，本体论与大型语言模型（LLM）的交叉已成为2024至2025年度最活跃的研究前沿，OG-RAG、OntoGPT等新型架构的涌现，标志着符号主义与连接主义的技术路线正在走向务实融合122。</w:t>
      </w:r>
    </w:p>
    <w:p>
      <w:r>
        <w:t>从应用版图来看，医疗健康与生命科学（占企业采用率的22%）、金融与保险（18%）、智能制造与工业4.0（16%）构成当前本体论技术的三大核心应用阵地，而在国防、建筑信息模型（BIM）、供应链与网络安全等新兴领域，本体论作为语义基座的作用同样日益显显133。本报告基于对近两百篇学术论文、行业白皮书及企业技术文档的系统分析，全面梳理了本体论在计算机科学领域中的概念定义、技术架构、工程范式、典型应用案例、行业共识与学术争议，并对未来3至6个月的技术演进趋势做出了前瞻性判断。报告发现，本体论当前正处于从静态知识库向动态演化式知识基础设施转型的关键拐点，其能否在LLM时代维持独立价值而非渖为辅助性技术，是学界与工业界共同关注的核心议题。</w:t>
      </w:r>
    </w:p>
    <w:p>
      <w:pPr>
        <w:keepNext/>
        <w:spacing w:before="200" w:after="80"/>
        <w:ind w:firstLine="0"/>
        <w:jc w:val="center"/>
      </w:pPr>
      <w:r>
        <w:drawing>
          <wp:inline distT="0" distB="0" distL="0" distR="0">
            <wp:extent cx="5040000" cy="2989194"/>
            <wp:effectExtent l="0" t="0" r="0" b="0"/>
            <wp:docPr id="2" name="Semantic Web Market"/>
            <wp:cNvGraphicFramePr>
              <a:graphicFrameLocks noChangeAspect="1"/>
            </wp:cNvGraphicFramePr>
            <a:graphic>
              <a:graphicData uri="http://schemas.openxmlformats.org/drawingml/2006/picture">
                <pic:pic>
                  <pic:nvPicPr>
                    <pic:cNvPr id="0" name="Semantic Web Market.png"/>
                    <pic:cNvPicPr/>
                  </pic:nvPicPr>
                  <pic:blipFill>
                    <a:blip r:embed="R123c613433f24260"/>
                    <a:stretch>
                      <a:fillRect/>
                    </a:stretch>
                  </pic:blipFill>
                  <pic:spPr>
                    <a:xfrm>
                      <a:off x="0" y="0"/>
                      <a:ext cx="5040000" cy="2989194"/>
                    </a:xfrm>
                    <a:prstGeom prst="rect"/>
                  </pic:spPr>
                </pic:pic>
              </a:graphicData>
            </a:graphic>
          </wp:inline>
        </w:drawing>
      </w:r>
    </w:p>
    <w:p>
      <w:pPr>
        <w:pStyle w:val="Caption"/>
      </w:pPr>
      <w:r>
        <w:t>图1：全球语义网市场规模预测（2024-2030）</w:t>
      </w:r>
    </w:p>
    <w:p>
      <w:pPr>
        <w:pStyle w:val="Heading1"/>
      </w:pPr>
      <w:r>
        <w:t>1. 本体论在计算机科学中的定义与理论基础</w:t>
      </w:r>
      <w:bookmarkStart w:name="_Toc002" w:id="2"/>
      <w:bookmarkEnd w:id="2"/>
    </w:p>
    <w:p>
      <w:pPr>
        <w:pStyle w:val="Heading2"/>
      </w:pPr>
      <w:r>
        <w:t>1.1 核心概念的形式化定义</w:t>
      </w:r>
    </w:p>
    <w:p>
      <w:r>
        <w:t>本体论在计算机科学中的经典定义由Tom Gruber于1993年提出，其核心表述为：“本体论是概念化（conceptualization）的显式规格说明（explicit specification）”44。该定义强调了两个关键维度：其一，本体论并非客观世界的镜像，而是对特定领域（domain）中实体、属性、关系及约束条件的系统性抽象与概念化建模；其二，这种概念化必须以显式的、机器可处理的、无歧义的形式进行表述，从而支持自动推理与知识复用。从逻辑学的视角审视，一个形式化的本体通常被表述为五元组 O = (C, P, A, X, I)，其中C代表概念集合，P表示属性或特性，A为公理体系，X指代约束规则，而I则是实例个体的集合。这种严格的数学化表述使得本体论超越了传统的数据模式定义，成为一种具备逻辑推理能力的知识组织框架。</w:t>
      </w:r>
    </w:p>
    <w:p>
      <w:r>
        <w:t>从认知科学的维度延伸，本体论的定义还可以被理解为“共享概念化的明确规范”。这意味着本体论的核心价值不仅在于对领域知识的结构化编码，更在于为跨系统、跨组织乃至跨语言的知识交换提供统一的语义契约。在分布式计算与异构数据环境日益普遍的当代，这种共享性特征使得本体论成为实现语义互操作性（Semantic Interoperability）的关键技术基石。需要注意的是，计算机科学中的本体论与传统哲学中关于“存在之存在”的形而上学探讨存在本质区别，前者聚焦于特定应用域内实体类别及其关系的工程化建模，后者则关注最广义的存在范畴。然而，正是这种源于哲学的问题意识——即对“何物存在”及“以何种方式存在”的系统性追问——为计算机本体论提供了深层的理论根基，使其区别于简单的分类学或数据库模式设计。</w:t>
      </w:r>
    </w:p>
    <w:p>
      <w:pPr>
        <w:pStyle w:val="Heading2"/>
      </w:pPr>
      <w:r>
        <w:t>1.2 形式化表征与逻辑基础</w:t>
      </w:r>
    </w:p>
    <w:p>
      <w:r>
        <w:t>现代本体论的形式化表征建立在描述逻辑（Description Logic, DL）的数学基础之上。描述逻辑是一类知识表示语言族，其表达能力与计算复杂度之间存在严格的权衡关系。最基本的ALC逻辑支持概念合取、析取、否定以及存在/全称量词约束，而更复杂的SHOIN(D)和SROIQ(D)则为W3C OWL DL和OWL 2语言提供了直接的逻辑对应。这种基于逻辑的表征方式赋予本体论三项关键能力：概念一致性检测、实例分类以及属性推理。这些推理能力使得本体论能够发现数据模型中隐藏的模式与冲突，从而显著提升知识库的质量与可靠性。</w:t>
      </w:r>
    </w:p>
    <w:p>
      <w:r>
        <w:t>在实际工程应用中，形式化表征的严格性也带来了显著的计算复杂性挑战。OWL 2的DL子语言虽然保证了推理的可判定性，但其计算复杂度在某些情况下可能达到N2EXPTIME。这意命着，对于大规模本体（如包含数十万概念的生物医学本体SNOMED CT），直接采用完全自动化的推理机在运行时可能面临严重的性能瓶颈。为解决这一问题，工程界发展出多种优化策略，包括模块化推理、增量式推理以及基于规则引擎的近似推理（如OWL 2 RL配置文件）。这些技术折中方案在保持核心推理能力的同时，通过牺牲部分表达力来换取可扩展性，体现了本体论工程在理论理想与实践约束之间寻求平衡的典型特征。</w:t>
      </w:r>
    </w:p>
    <w:p>
      <w:pPr>
        <w:pStyle w:val="Heading2"/>
      </w:pPr>
      <w:r>
        <w:t>1.3 标准化语言体系与技术栈</w:t>
      </w:r>
    </w:p>
    <w:p>
      <w:r>
        <w:t>当前，本体论的技术生态以W3C制定的语义网标准族为核心支柱。在语言层面，RDF（Resource Description Framework）作为数据模型层标准，提供了基于三元组（主语-谓语-宾语）的图结构化数据表示能力；RDFS（RDF Schema）在此基础上增加了类层次结构、属性定义等基本词汇；而OWL（Web Ontology Language）及其后继版本OWL 2则提供了丰富的类构造子、属性约束和公理体系，支持复杂的领域建模需求55。在查询与约束层面，SPARQL作为RDF图的标准查询语言，支持图模式匹配、聚合运算与联邦查询；SHACL（Shapes Constraint Language）和OWL 2 DL则分别从不同哲学立场（closed-world vs. open-world assumption）出发，为知识图谱提供数据验证与质量约束机制。</w:t>
      </w:r>
    </w:p>
    <w:p>
      <w:r>
        <w:t>近年来，随着知识图谱和LLM技术的崛起，标准化技术栈正在经历新的扩展与重构。OWL-Star（又称RDF-Star / SPARQL-Star）作为新兴标准草案，通过引入注释三元组机制，使RDF图能够直接表示陈述的置信度、来源、时间有效性等元级信息，从而弥合了传统语义网模型与概率推理、时态推理需求之间的差距。与此同时，JSON-LD和YAML-LD等轻量级序列化格式的普及，降低了本体论技术的前置学习成本，使得更多的Web开发者能够在不深入理解描述逻辑的前提下消费语义数据。这种技术民主化趋势正在重塑本体论工程的人才基座与生态边界。</w:t>
      </w:r>
    </w:p>
    <w:p>
      <w:pPr>
        <w:pStyle w:val="Heading1"/>
      </w:pPr>
      <w:r>
        <w:t>2. 主要应用场景与应用价值</w:t>
      </w:r>
      <w:bookmarkStart w:name="_Toc003" w:id="3"/>
      <w:bookmarkEnd w:id="3"/>
    </w:p>
    <w:p>
      <w:pPr>
        <w:pStyle w:val="Heading2"/>
      </w:pPr>
      <w:r>
        <w:t>2.1 知识图谱与语义网络构建</w:t>
      </w:r>
    </w:p>
    <w:p>
      <w:r>
        <w:t>知识图谱（Knowledge Graph, KG）是本体论技术在大数据时代最直接、最具影响力的应用形态。从结构上看，知识图谱本质上是一种以本体为模式层(Schema/Terminology Box, T-Box)、以实体实例为数据层（Assertion Box, A-Box)的大规模语义网络。Google于2012年推出的Google Knowledge Graph开创了本体论技术面向消费级互联网应用的先河，其背后依托的是对数十亿实体、数千种关系类型的系统化本体建模，支撑了搜索引擎从关键词匹配向语义理解的范式跃迁。在企业级应用中，知识图谱通过将分散在关系数据库、文档库、API接口中的异构数据链接为统一的语义实体网络，解决了传统数据仓库在数据血缘追溯、跨源关联分析、语义检索等方面的结构性缺陷。</w:t>
      </w:r>
    </w:p>
    <w:p>
      <w:r>
        <w:t>本体论在知识图谱构建中的价值不仅体现在数据组织层面，更深刻地体现在知识发现与推断层面。基于OWL公理体系的推理引擎能够在显式声明的事实之外，自动推导出大量隐式知识。例如，在一个供应链管理知识图谱中，若本体定义了“供应商”的“hasProductionFacility”属性具有传递性，且已知“A公司的供应商是B公司”、“B公司的供应商是C公司”，则推理机可自动推导出“A公司的间接供应商包括C公司”。这种关系传播能力在金融风险传导分析、供应链脆弱性评估、网络安全威胁追踪等场景中具有不可替代的业务价值。据MarketsandMarkets的预测，全球知识图谱市场将以28.5%的年复合增长率持续扩张，到2028年市场规模将接近34亿美元，其中金融欺诈检测、药物研发辅助和智能制造构成增长最快的三大垂直领域66。</w:t>
      </w:r>
    </w:p>
    <w:p>
      <w:pPr>
        <w:pStyle w:val="Heading2"/>
      </w:pPr>
      <w:r>
        <w:t>2.2 智能推理与决策支持</w:t>
      </w:r>
    </w:p>
    <w:p>
      <w:r>
        <w:t>本体论驱动的推理系统通过将领域专家的经验与规则编码为形式化的公理体系，实现了从数据驱动向知识驱动的决策范式转变。在医疗诊断领域，基于SNOMED CT本体的临床决策支持系统（CDSS）能够利用本体中的概念层级和属性约束，对患者电子病历中的症状、体征、检验结果进行语义层面的归一化与关联分析，进而提示潜在的诊断假设与用药禁忌。例如，当系统检测到患者同时被诊断为“急性心肌梠死”和处方“非孕体抗炎药”时，基于本体中“急性心肌梠死”与“禁忌药物”之间的语义关联，推理引擎可自动触发高危用药警报。这种基于深层语义的智能提示，远比基于关键词匹配的规则引擎更为精准与灵活。</w:t>
      </w:r>
    </w:p>
    <w:p>
      <w:r>
        <w:t>在金融与合规领域，本体论推理的应用正在重塑反洗钱（AML）与了解你的客户（KYC）的技术架构。传统AML系统依赖静态规则与阈值检测，难以识别复杂的嵌套交易结构与多层法人面纱。基于本体论的反洗钱知识图谱通过将客户实体、交易行为、企业股权结构、地缘政治风险等要素统一建模为相互关联的语义网络，结合图推理算法（如传递闭包、社区发现），能够有效识别隐蔽的最终受益所有人（UBO）和异常资金流向模式。据行业报告统计，采用本体增强型知识图谱的金融机构，其可疑交易识别准确率较传统规则引擎提升35%至60%，同时误报率降低40%以上77。这种从“规则匹配”到“语义推理”的技术升级，正在推动金融监管科技（RegTech）进入新的发展阶段。</w:t>
      </w:r>
    </w:p>
    <w:p>
      <w:pPr>
        <w:pStyle w:val="Heading2"/>
      </w:pPr>
      <w:r>
        <w:t>2.3 数据互操作与语义集成</w:t>
      </w:r>
    </w:p>
    <w:p>
      <w:r>
        <w:t>异构数据源之间的语义鸿沟是信息化建设中长期存在的基础设施级难题。不同业务系统使用各自的术语体系、编码标准与数据模型，导致跨系统集成时面临严重的“同名异义”与“异名同义”问题。本体论通过提供领域级语义中介层，为这一问题提供了系统性的解决方案。在方法论层面，典型的数据集成流程包括：源模式分析、本体映射设计、语义转换规则定义以及集成知识库构建与推理优化四个阶段。这种基于本体的企业信息集成方法，避免了传统ETL流程中为每对数据源单独编写点对点转换脚本的可扩展性灾难。</w:t>
      </w:r>
    </w:p>
    <w:p>
      <w:r>
        <w:t>在特定工业领域，本体论的数据互操作价值尤为突出。以建筑信息模型（BIM）为例，建筑业涉及结构、暖通、电气、给排水等多个工程专业，各专业使用的软件平台采用各自的数据格式与分类体系。工业基础类（IFC）标准作为一种建筑领域本体，通过定义墙体、梁、柱、管道、设备等建筑构件的统一语义模型与几何表达规范，使得不同软件输出的模型能够在语义层面实现无损交换与协同编辑。在能源行业，CIM（Common Information Model）标准作为电力系统领域本体，涵盖了电网设备的拓扑关系、运行参数与调度逻辑，支持不同厂商的能量管理系统（EMS）、配电管理系统（DMS）之间的实时数据互操作。这种以本体论为核心的领域标准构建策略，正在被越来越多的垂直行业采纳为数字化转型顶层设计的核心组件。</w:t>
      </w:r>
    </w:p>
    <w:p>
      <w:pPr>
        <w:pStyle w:val="Heading2"/>
      </w:pPr>
      <w:r>
        <w:t>2.4 应用价值矩阵分析</w:t>
      </w:r>
    </w:p>
    <w:p>
      <w:r>
        <w:t>本体论技术在计算机领域的应用价值可以从效率提升、质量保障、风险控制和战略赋能四个维度进行系统性评估。以下价值矩阵汇总了本体论在不同应用维度上的主要贡献与量化影响：</w:t>
      </w:r>
    </w:p>
    <w:tbl>
      <w:tblPr>
        <w:tblW w:w="5000" w:type="pct"/>
        <w:tblBorders>
          <w:top w:val="single" w:color="1f4e79" w:sz="12"/>
          <w:bottom w:val="single" w:color="1f4e79" w:sz="12"/>
          <w:insideH w:val="single" w:color="d0d8e0" w:sz="4"/>
        </w:tblBorders>
      </w:tblPr>
      <w:tblGrid>
        <w:gridCol w:w="2000"/>
        <w:gridCol w:w="2400"/>
        <w:gridCol w:w="2400"/>
        <w:gridCol w:w="2200"/>
      </w:tblGrid>
      <w:tr>
        <w:trPr>
          <w:tblHeader/>
        </w:trPr>
        <w:tc>
          <w:tcPr>
            <w:shd w:val="clear" w:fill="e8eef5"/>
          </w:tcPr>
          <w:p>
            <w:pPr>
              <w:spacing w:before="60" w:after="60"/>
              <w:ind w:firstLine="0"/>
              <w:jc w:val="center"/>
            </w:pPr>
            <w:r>
              <w:rPr>
                <w:rFonts w:ascii="Calibri" w:hAnsi="Calibri" w:eastAsia="Microsoft YaHei"/>
                <w:b/>
                <w:color w:val="333333"/>
                <w:sz w:val="20"/>
              </w:rPr>
              <w:t>价值维度</w:t>
            </w:r>
          </w:p>
        </w:tc>
        <w:tc>
          <w:tcPr>
            <w:shd w:val="clear" w:fill="e8eef5"/>
          </w:tcPr>
          <w:p>
            <w:pPr>
              <w:spacing w:before="60" w:after="60"/>
              <w:ind w:firstLine="0"/>
              <w:jc w:val="center"/>
            </w:pPr>
            <w:r>
              <w:rPr>
                <w:rFonts w:ascii="Calibri" w:hAnsi="Calibri" w:eastAsia="Microsoft YaHei"/>
                <w:b/>
                <w:color w:val="333333"/>
                <w:sz w:val="20"/>
              </w:rPr>
              <w:t>具体表现</w:t>
            </w:r>
          </w:p>
        </w:tc>
        <w:tc>
          <w:tcPr>
            <w:shd w:val="clear" w:fill="e8eef5"/>
          </w:tcPr>
          <w:p>
            <w:pPr>
              <w:spacing w:before="60" w:after="60"/>
              <w:ind w:firstLine="0"/>
              <w:jc w:val="center"/>
            </w:pPr>
            <w:r>
              <w:rPr>
                <w:rFonts w:ascii="Calibri" w:hAnsi="Calibri" w:eastAsia="Microsoft YaHei"/>
                <w:b/>
                <w:color w:val="333333"/>
                <w:sz w:val="20"/>
              </w:rPr>
              <w:t>量化指标</w:t>
            </w:r>
          </w:p>
        </w:tc>
        <w:tc>
          <w:tcPr>
            <w:shd w:val="clear" w:fill="e8eef5"/>
          </w:tcPr>
          <w:p>
            <w:pPr>
              <w:spacing w:before="60" w:after="60"/>
              <w:ind w:firstLine="0"/>
              <w:jc w:val="center"/>
            </w:pPr>
            <w:r>
              <w:rPr>
                <w:rFonts w:ascii="Calibri" w:hAnsi="Calibri" w:eastAsia="Microsoft YaHei"/>
                <w:b/>
                <w:color w:val="333333"/>
                <w:sz w:val="20"/>
              </w:rPr>
              <w:t>主要应用领域</w:t>
            </w:r>
          </w:p>
        </w:tc>
      </w:tr>
      <w:tr>
        <w:tc>
          <w:tcPr/>
          <w:p>
            <w:pPr>
              <w:spacing w:before="60" w:after="60"/>
              <w:ind w:firstLine="0"/>
              <w:jc w:val="center"/>
            </w:pPr>
            <w:r>
              <w:rPr>
                <w:rFonts w:ascii="Calibri" w:hAnsi="Calibri" w:eastAsia="Microsoft YaHei"/>
                <w:color w:val="666666"/>
                <w:sz w:val="20"/>
              </w:rPr>
              <w:t>效率提升</w:t>
            </w:r>
          </w:p>
        </w:tc>
        <w:tc>
          <w:tcPr/>
          <w:p>
            <w:pPr>
              <w:spacing w:before="60" w:after="60"/>
              <w:ind w:firstLine="0"/>
              <w:jc w:val="center"/>
            </w:pPr>
            <w:r>
              <w:rPr>
                <w:rFonts w:ascii="Calibri" w:hAnsi="Calibri" w:eastAsia="Microsoft YaHei"/>
                <w:color w:val="666666"/>
                <w:sz w:val="20"/>
              </w:rPr>
              <w:t>自动化知识发现、智能搜索与推荐</w:t>
            </w:r>
          </w:p>
        </w:tc>
        <w:tc>
          <w:tcPr/>
          <w:p>
            <w:pPr>
              <w:spacing w:before="60" w:after="60"/>
              <w:ind w:firstLine="0"/>
              <w:jc w:val="center"/>
            </w:pPr>
            <w:r>
              <w:rPr>
                <w:rFonts w:ascii="Calibri" w:hAnsi="Calibri" w:eastAsia="Microsoft YaHei"/>
                <w:color w:val="666666"/>
                <w:sz w:val="20"/>
              </w:rPr>
              <w:t>数据准备时间减少50-80%</w:t>
            </w:r>
          </w:p>
        </w:tc>
        <w:tc>
          <w:tcPr/>
          <w:p>
            <w:pPr>
              <w:spacing w:before="60" w:after="60"/>
              <w:ind w:firstLine="0"/>
              <w:jc w:val="center"/>
            </w:pPr>
            <w:r>
              <w:rPr>
                <w:rFonts w:ascii="Calibri" w:hAnsi="Calibri" w:eastAsia="Microsoft YaHei"/>
                <w:color w:val="666666"/>
                <w:sz w:val="20"/>
              </w:rPr>
              <w:t>金融研究、医疗文献检索</w:t>
            </w:r>
          </w:p>
        </w:tc>
      </w:tr>
      <w:tr>
        <w:tc>
          <w:tcPr/>
          <w:p>
            <w:pPr>
              <w:spacing w:before="60" w:after="60"/>
              <w:ind w:firstLine="0"/>
              <w:jc w:val="center"/>
            </w:pPr>
            <w:r>
              <w:rPr>
                <w:rFonts w:ascii="Calibri" w:hAnsi="Calibri" w:eastAsia="Microsoft YaHei"/>
                <w:color w:val="666666"/>
                <w:sz w:val="20"/>
              </w:rPr>
              <w:t>质量保障</w:t>
            </w:r>
          </w:p>
        </w:tc>
        <w:tc>
          <w:tcPr/>
          <w:p>
            <w:pPr>
              <w:spacing w:before="60" w:after="60"/>
              <w:ind w:firstLine="0"/>
              <w:jc w:val="center"/>
            </w:pPr>
            <w:r>
              <w:rPr>
                <w:rFonts w:ascii="Calibri" w:hAnsi="Calibri" w:eastAsia="Microsoft YaHei"/>
                <w:color w:val="666666"/>
                <w:sz w:val="20"/>
              </w:rPr>
              <w:t>数据一致性校验、逻辑冲突检测</w:t>
            </w:r>
          </w:p>
        </w:tc>
        <w:tc>
          <w:tcPr/>
          <w:p>
            <w:pPr>
              <w:spacing w:before="60" w:after="60"/>
              <w:ind w:firstLine="0"/>
              <w:jc w:val="center"/>
            </w:pPr>
            <w:r>
              <w:rPr>
                <w:rFonts w:ascii="Calibri" w:hAnsi="Calibri" w:eastAsia="Microsoft YaHei"/>
                <w:color w:val="666666"/>
                <w:sz w:val="20"/>
              </w:rPr>
              <w:t>数据错误率降低40-60%</w:t>
            </w:r>
          </w:p>
        </w:tc>
        <w:tc>
          <w:tcPr/>
          <w:p>
            <w:pPr>
              <w:spacing w:before="60" w:after="60"/>
              <w:ind w:firstLine="0"/>
              <w:jc w:val="center"/>
            </w:pPr>
            <w:r>
              <w:rPr>
                <w:rFonts w:ascii="Calibri" w:hAnsi="Calibri" w:eastAsia="Microsoft YaHei"/>
                <w:color w:val="666666"/>
                <w:sz w:val="20"/>
              </w:rPr>
              <w:t>主数据管理、临床试验数据</w:t>
            </w:r>
          </w:p>
        </w:tc>
      </w:tr>
      <w:tr>
        <w:tc>
          <w:tcPr/>
          <w:p>
            <w:pPr>
              <w:spacing w:before="60" w:after="60"/>
              <w:ind w:firstLine="0"/>
              <w:jc w:val="center"/>
            </w:pPr>
            <w:r>
              <w:rPr>
                <w:rFonts w:ascii="Calibri" w:hAnsi="Calibri" w:eastAsia="Microsoft YaHei"/>
                <w:color w:val="666666"/>
                <w:sz w:val="20"/>
              </w:rPr>
              <w:t>风险控制</w:t>
            </w:r>
          </w:p>
        </w:tc>
        <w:tc>
          <w:tcPr/>
          <w:p>
            <w:pPr>
              <w:spacing w:before="60" w:after="60"/>
              <w:ind w:firstLine="0"/>
              <w:jc w:val="center"/>
            </w:pPr>
            <w:r>
              <w:rPr>
                <w:rFonts w:ascii="Calibri" w:hAnsi="Calibri" w:eastAsia="Microsoft YaHei"/>
                <w:color w:val="666666"/>
                <w:sz w:val="20"/>
              </w:rPr>
              <w:t>异常模式识别、合规性自动审查</w:t>
            </w:r>
          </w:p>
        </w:tc>
        <w:tc>
          <w:tcPr/>
          <w:p>
            <w:pPr>
              <w:spacing w:before="60" w:after="60"/>
              <w:ind w:firstLine="0"/>
              <w:jc w:val="center"/>
            </w:pPr>
            <w:r>
              <w:rPr>
                <w:rFonts w:ascii="Calibri" w:hAnsi="Calibri" w:eastAsia="Microsoft YaHei"/>
                <w:color w:val="666666"/>
                <w:sz w:val="20"/>
              </w:rPr>
              <w:t>欺诈检测召回率提升35-60%</w:t>
            </w:r>
          </w:p>
        </w:tc>
        <w:tc>
          <w:tcPr/>
          <w:p>
            <w:pPr>
              <w:spacing w:before="60" w:after="60"/>
              <w:ind w:firstLine="0"/>
              <w:jc w:val="center"/>
            </w:pPr>
            <w:r>
              <w:rPr>
                <w:rFonts w:ascii="Calibri" w:hAnsi="Calibri" w:eastAsia="Microsoft YaHei"/>
                <w:color w:val="666666"/>
                <w:sz w:val="20"/>
              </w:rPr>
              <w:t>反洗钱、审计合规、网络安全</w:t>
            </w:r>
          </w:p>
        </w:tc>
      </w:tr>
      <w:tr>
        <w:tc>
          <w:tcPr/>
          <w:p>
            <w:pPr>
              <w:spacing w:before="60" w:after="60"/>
              <w:ind w:firstLine="0"/>
              <w:jc w:val="center"/>
            </w:pPr>
            <w:r>
              <w:rPr>
                <w:rFonts w:ascii="Calibri" w:hAnsi="Calibri" w:eastAsia="Microsoft YaHei"/>
                <w:color w:val="666666"/>
                <w:sz w:val="20"/>
              </w:rPr>
              <w:t>战略赋能</w:t>
            </w:r>
          </w:p>
        </w:tc>
        <w:tc>
          <w:tcPr/>
          <w:p>
            <w:pPr>
              <w:spacing w:before="60" w:after="60"/>
              <w:ind w:firstLine="0"/>
              <w:jc w:val="center"/>
            </w:pPr>
            <w:r>
              <w:rPr>
                <w:rFonts w:ascii="Calibri" w:hAnsi="Calibri" w:eastAsia="Microsoft YaHei"/>
                <w:color w:val="666666"/>
                <w:sz w:val="20"/>
              </w:rPr>
              <w:t>跨域知识融合、新业务模式发现</w:t>
            </w:r>
          </w:p>
        </w:tc>
        <w:tc>
          <w:tcPr/>
          <w:p>
            <w:pPr>
              <w:spacing w:before="60" w:after="60"/>
              <w:ind w:firstLine="0"/>
              <w:jc w:val="center"/>
            </w:pPr>
            <w:r>
              <w:rPr>
                <w:rFonts w:ascii="Calibri" w:hAnsi="Calibri" w:eastAsia="Microsoft YaHei"/>
                <w:color w:val="666666"/>
                <w:sz w:val="20"/>
              </w:rPr>
              <w:t>研发周期缩短20-30%</w:t>
            </w:r>
          </w:p>
        </w:tc>
        <w:tc>
          <w:tcPr/>
          <w:p>
            <w:pPr>
              <w:spacing w:before="60" w:after="60"/>
              <w:ind w:firstLine="0"/>
              <w:jc w:val="center"/>
            </w:pPr>
            <w:r>
              <w:rPr>
                <w:rFonts w:ascii="Calibri" w:hAnsi="Calibri" w:eastAsia="Microsoft YaHei"/>
                <w:color w:val="666666"/>
                <w:sz w:val="20"/>
              </w:rPr>
              <w:t>药物研发、智能制造、数字孪生</w:t>
            </w:r>
          </w:p>
        </w:tc>
      </w:tr>
    </w:tbl>
    <w:p>
      <w:r>
        <w:t>该矩阵表明，本体论技术的应用价值并非单一维度的性能优化，而是对整个组织知识管理能力的系统性提升。尤其在战略赋能维度，本体论通过打破部门间的语义壁垒，使企业能够将分散在不同业务单元中的知识资产整合为可计算、可推理、可复用的战略性资源，从而形成难以被竞争对手快速复制的知识护城河。</w:t>
      </w:r>
    </w:p>
    <w:p>
      <w:pPr>
        <w:keepNext/>
        <w:spacing w:before="200" w:after="80"/>
        <w:ind w:firstLine="0"/>
        <w:jc w:val="center"/>
      </w:pPr>
      <w:r>
        <w:drawing>
          <wp:inline distT="0" distB="0" distL="0" distR="0">
            <wp:extent cx="5040000" cy="2133152"/>
            <wp:effectExtent l="0" t="0" r="0" b="0"/>
            <wp:docPr id="3" name="Ontology Applications"/>
            <wp:cNvGraphicFramePr>
              <a:graphicFrameLocks noChangeAspect="1"/>
            </wp:cNvGraphicFramePr>
            <a:graphic>
              <a:graphicData uri="http://schemas.openxmlformats.org/drawingml/2006/picture">
                <pic:pic>
                  <pic:nvPicPr>
                    <pic:cNvPr id="0" name="Ontology Applications.png"/>
                    <pic:cNvPicPr/>
                  </pic:nvPicPr>
                  <pic:blipFill>
                    <a:blip r:embed="Rf0c7467078234fac"/>
                    <a:stretch>
                      <a:fillRect/>
                    </a:stretch>
                  </pic:blipFill>
                  <pic:spPr>
                    <a:xfrm>
                      <a:off x="0" y="0"/>
                      <a:ext cx="5040000" cy="2133152"/>
                    </a:xfrm>
                    <a:prstGeom prst="rect"/>
                  </pic:spPr>
                </pic:pic>
              </a:graphicData>
            </a:graphic>
          </wp:inline>
        </w:drawing>
      </w:r>
    </w:p>
    <w:p>
      <w:pPr>
        <w:pStyle w:val="Caption"/>
      </w:pPr>
      <w:r>
        <w:t>图2：本体论应用领域分布与技术驱动增长率</w:t>
      </w:r>
    </w:p>
    <w:p>
      <w:pPr>
        <w:pStyle w:val="Heading1"/>
      </w:pPr>
      <w:r>
        <w:t>3. 典型应用案例深度分析</w:t>
      </w:r>
      <w:bookmarkStart w:name="_Toc004" w:id="4"/>
      <w:bookmarkEnd w:id="4"/>
    </w:p>
    <w:p>
      <w:pPr>
        <w:pStyle w:val="Heading2"/>
      </w:pPr>
      <w:r>
        <w:t>3.1 案例一：Palantir AIP——国防与供应链领域的动态本体平台</w:t>
      </w:r>
    </w:p>
    <w:p>
      <w:r>
        <w:t>Palantir Technologies的本体论工程实践是当前工业界最值得关注的大型应用案例之一。Palantir AIP（Artificial Intelligence Platform）并非传统意义上的静态知识库，而是一个以本体为核心驱动的动态数据融合与决策操作系统。在国防领域，Palantir为美军及多个北约国家开发的Mission Manager系统，利用本体论将来自卫星侦察、无人机视频流、人力情报（HUMINT）、信号情报（SIGINT）等异构来源的数据实体化为统一的语义对象——包括人员、组织、地点、事件、装备等类别，并通过时间、空间、社交关系等维度建立动态关联。这种多源情报的本体化融合，使得指挥官能够在单一视图中追踪跨域目标的完整活动轨迹，并基于本体推理发现隐含的关联威胁122。</w:t>
      </w:r>
    </w:p>
    <w:p>
      <w:r>
        <w:t>本体论在Palantir架构中的核心作用体现在三个层面。第一，对象中心化：所有进入系统的数据都必须被实例化为本体定义的标准化对象类型，这种强制性的语义归一化消除了不同数据源之间的术语歧义。第二，动态属性系统：Palantir的本体模型允许在运行时动态扩展对象的属性与关系，而不需要预先定义完整的数据库模式，这种灵活性对于情报分析中频繁出现的未知实体类型与新型关系模式至关重要。第三，集成推理引擎：基于本体的继承关系与属性约束，系统能够自动推断实体的隐含类别与关联。在供应链领域，Palantir的商业版平台Foundry同样采用了本体论驱动的方法论。2024年《Supply Chain Brain》杂志报道的案例显示，一家全球电子制造商通过部署Palantir的供应链本体系统，将供应商风险评估的响应时间从数周缩短至实时级别，并在一次地缘冲突爆发前72小时即通过本体关系推理识别出关键零部件的断供风险，提前启动了替代供应商激活流程133。</w:t>
      </w:r>
    </w:p>
    <w:p>
      <w:pPr>
        <w:pStyle w:val="Heading2"/>
      </w:pPr>
      <w:r>
        <w:t>3.2 案例二：生物医学本体论——从SNOMED CT到药物研发知识图谱</w:t>
      </w:r>
    </w:p>
    <w:p>
      <w:r>
        <w:t>生物医学领域是本体论技术应用最成熟、体系最完善的垂直行业。以SNOMED CT（Systematized Nomenclature of Medicine – Clinical Terms）为代表的临床术语本体，目前覆盖了超过35万个医学概念、150万个语义关系和100万个同义词，被全球超过80个国家的医疗机构采用，构成了跨国临床数据互操作与医学研究协作的语义基础设施144。SNOMED CT的本体架构采用多轴分类体系，允许从解剖部位、病理形态、病因、临床表现等多个维度对医学概念进行交叉描述。例如，“肺炎”这一概念既可以作为“肺部疾病”的子类，也可以被描述为“由感染引起的炎症性疾病”的实例，这种多维语义描述能力远超传统树状分类法的表达范围。</w:t>
      </w:r>
    </w:p>
    <w:p>
      <w:r>
        <w:t>在药物研发领域，本体论技术的应用正在经历从术语标准化向知识发现引擎的跃迁。由欧盟创新药物倡议（IMI）资助的Open PHACTS项目构建了连接化学、生物学、药理学和疾病数据的集成知识图谱，其核心模式层采用了多个开放本体标准。通过SPARQL联邦查询接口，药物研发人员可以在单次查询中跨越多个异构数据库，探索“某靶点蛋白的相关疾病→已批准药物→化学结构类似物→潜在副作用”等复杂的多跳推理路径。据项目评估报告，采用该知识图谱的研究团队，其靶点优先级排序与先导化合物筛选的效率较传统文献调研方法提升了3至5倍155。近年来，制药行业正在将本体论技术与大型语言模型进行深度融合，以应对传统知识图谱构建中耗时耗力的人工标注瓶颈。OntoGPT等工具利用LLM的少样本学习能力，从非结构化的科学文献中自动提取结构化的事实三元组，并基于预定义的本体模式进行语义归一化与冲突消解。辉瑞、罗氏等制药巨头已在2024年启动多个内部项目，探索将LLM驱动的本体自动抽取与已有的手工curated知识图谱进行融合。</w:t>
      </w:r>
    </w:p>
    <w:p>
      <w:pPr>
        <w:pStyle w:val="Heading2"/>
      </w:pPr>
      <w:r>
        <w:t>3.3 案例三：建筑信息模型（BIM）——本体论赋能的工程语义互操作</w:t>
      </w:r>
    </w:p>
    <w:p>
      <w:r>
        <w:t>建筑业是数字化转型相对滞后的传统行业之一，而本体论技术正在成为推动该行业突破信息孤岛困境的关键使能器。IFC（Industry Foundation Classes）标准作为建筑领域最具代表性的领域本体，由buildingSMART国际组织维护，旨在为建筑全生命周期中产生的异构数据提供统一的语义表达框架。IFC本体采用EXPRESS语言和STEP标准进行形式化定义，涵盖了从建筑几何、材料属性、时间进度到成本造价的全要素信息模型。与许多以关系型数据库为核心的行业不同，建筑业的本体论实践必须同时处理几何语义（如B-rep体素表示的空间拓扑关系）与业务语义（如施工顺序、合同条款、维护责任），这种双重复杂性使得IFC成为工程本体论中最具技术挑战性的案例之一166。</w:t>
      </w:r>
    </w:p>
    <w:p>
      <w:r>
        <w:t>在具体工程实践中，IFC本体的应用价值集中体现在设计-施工-运维全链条的协同效率提升。以大型基础设施项目为例，设计单位使用BIM软件生成包含结构构件语义信息的IFC模型，施工单位将其导入4D/5D施工管理系统以进行进度模拟与资源调度，而运维单位则在建筑交付后将IFC模型与物联网传感器数据进行语义关联，构建设施管理的数字孪生基座。德国联邦交通部在2024年发布的基础设施数字化规范中，已将IFC 4.3版本指定为联邦公路与铁路项目的强制性数据交换格式，这标志着本体论驱动的标准化已上升为国家层面的监管要求177。然而，IFC的推广应用也面临严峻的语义完备性与实施成本挑战。由于建筑行业的地域性差异极大，IFC作为一个全球性本体难以突尽所有本地化的语义需求。为此，工程界发展出了MVD（Model View Definition）机制，允许各国或各项目基于IFC核心本体定义自己的语义子集与扩展规则。这种“核心本体+领域扩展”的模块化策略，正在成为垂直行业本体论工程的通用范式。</w:t>
      </w:r>
    </w:p>
    <w:p>
      <w:pPr>
        <w:pStyle w:val="Heading1"/>
      </w:pPr>
      <w:r>
        <w:t>4. 工程范式与技术生态</w:t>
      </w:r>
      <w:bookmarkStart w:name="_Toc005" w:id="5"/>
      <w:bookmarkEnd w:id="5"/>
    </w:p>
    <w:p>
      <w:pPr>
        <w:keepNext/>
        <w:spacing w:before="200" w:after="80"/>
        <w:ind w:firstLine="0"/>
        <w:jc w:val="center"/>
      </w:pPr>
      <w:r>
        <w:drawing>
          <wp:inline distT="0" distB="0" distL="0" distR="0">
            <wp:extent cx="5040000" cy="2488469"/>
            <wp:effectExtent l="0" t="0" r="0" b="0"/>
            <wp:docPr id="4" name="Ontology Timeline"/>
            <wp:cNvGraphicFramePr>
              <a:graphicFrameLocks noChangeAspect="1"/>
            </wp:cNvGraphicFramePr>
            <a:graphic>
              <a:graphicData uri="http://schemas.openxmlformats.org/drawingml/2006/picture">
                <pic:pic>
                  <pic:nvPicPr>
                    <pic:cNvPr id="0" name="Ontology Timeline.png"/>
                    <pic:cNvPicPr/>
                  </pic:nvPicPr>
                  <pic:blipFill>
                    <a:blip r:embed="R57cdf47b4d3048e4"/>
                    <a:stretch>
                      <a:fillRect/>
                    </a:stretch>
                  </pic:blipFill>
                  <pic:spPr>
                    <a:xfrm>
                      <a:off x="0" y="0"/>
                      <a:ext cx="5040000" cy="2488469"/>
                    </a:xfrm>
                    <a:prstGeom prst="rect"/>
                  </pic:spPr>
                </pic:pic>
              </a:graphicData>
            </a:graphic>
          </wp:inline>
        </w:drawing>
      </w:r>
    </w:p>
    <w:p>
      <w:pPr>
        <w:pStyle w:val="Caption"/>
      </w:pPr>
      <w:r>
        <w:t>图3：本体论工程在计算机科学领域的演进历程（1990-2030）</w:t>
      </w:r>
    </w:p>
    <w:p>
      <w:pPr>
        <w:pStyle w:val="Heading2"/>
      </w:pPr>
      <w:r>
        <w:t>4.1 本体工程方法论</w:t>
      </w:r>
    </w:p>
    <w:p>
      <w:r>
        <w:t>本体工程（Ontology Engineering）作为一门系统化的工程学科，已经形成了从需求分析到演化维护的完整生命周期方法论。主流的方法论框架包括METHONTOLOGY、OntoClean和NeOn等。METHONTOLOGY方法强调将本体开发视为软件工程的一个分支，涵盖了规格说明、概念化、形式化、实现与维护五个阶段，并引入了知识获取技术（如文本语料分析、专家访谈、卡片分类法）作为概念提取的支撑手段。OntoClean则专注于本体构建的质量评估，提出了一套基于哲学本体论（形而上学）的概念分类原则，用于检测类层次结构中可能存在的逻辑谬误，如“身份标准不一致”、“刚性属性误用”等，这些方法显著提升了大型本体的概念严谨性188。</w:t>
      </w:r>
    </w:p>
    <w:p>
      <w:r>
        <w:t>在当代实践中，敏捷本体工程（Agile Ontology Engineering）和众包本体构建（Crowdsourced Ontology Development）等新范式正在崛起。传统本体工程高度依赖领域专家和本体学家长期的密切协作，导致开发周期动辄数月甚至数年。敏捷方法通过将本体构建拆分为可迭代增量的用户故事（User Stories），允许在部分完成的状态下即投入使用，并根据实际反馈持续精化。例如，在构建一个企业知识图谱时，团队可以先聚焦于“产品-客户-订单”核心三角关系建立最小可行本体（Minimum Viable Ontology），在上线运行后逐步扩展“供应商-物流-售后”等外围领域。这种渐进式扩展策略显著降低了本体工程的启动门槛和前期投资风险。</w:t>
      </w:r>
    </w:p>
    <w:p>
      <w:pPr>
        <w:pStyle w:val="Heading2"/>
      </w:pPr>
      <w:r>
        <w:t>4.2 主流工具与平台生态</w:t>
      </w:r>
    </w:p>
    <w:p>
      <w:r>
        <w:t>当前的本体工程工具生态可分为开源学术工具、企业级商业平台和云端知识图谱服务三大类。在开源领域，Protege作为历史最悠久、用户基数最大的本体编辑器，由斯坦福大学维护，支持OWL/RDF本体的可视化编辑、推理机集成（如HermiT、Pellet、FaCT++）以及插件扩展生态。WebProtégé则作为其Web版本，支持多用户协同编辑与版本控制，适合分布式团队的本体开发工作流。Apache Jena作为Java生态中的核心语义网框架，提供了RDF存储、SPARQL查询、推理规则引擎和OWL API支持，是构建企业级语义应用的基础性技术栈。</w:t>
      </w:r>
    </w:p>
    <w:p>
      <w:r>
        <w:t>在商业平台层面，PoolParty Semantic Suite、TopQuadrant TopBraid和Ontotext GraphDB构成了企业知识图谱市场的三足鼎立格局。PoolParty以SKOS为核心的词汇管理系统见长，在出版、政府和大型企业术语标准化领域占据优势；TopQuadrant的TopBraid平台强调与数据编织（Data Fabric）架构的集成，支持将RDF知识图谱与关系数据库、数据湖进行联邦查询；Ontotext的GraphDB则以高性能RDF存储与推理引擎著称，其OWL 2 RL推理优化技术在处理十亿级三元组的知识图谱时表现优异199。此外，云计算巨头也纷纷入局：Amazon Neptune推出了RDF/SPARQL兼容的图数据库服务，Microsoft Azure的Knowledge Graph服务则强调与Office 365和Dynamics 365生态的深度集成。</w:t>
      </w:r>
    </w:p>
    <w:p>
      <w:pPr>
        <w:pStyle w:val="Heading2"/>
      </w:pPr>
      <w:r>
        <w:t>4.3 与大型语言模型的融合范式</w:t>
      </w:r>
    </w:p>
    <w:p>
      <w:r>
        <w:t>2023至2025年间，本体论技术生态最深刻的变革来源于与大型语言模型（LLM）的融合探索。这一融合并非简单的技术叠加，而是触及知识表示根本范式的深层碰撞。当前已形成三种主要的融合路径。第一种路径是“LLM as Ontology Engineer”，即利用LLM的文本理解与生成能力自动化本体工程的各个环节。代表工具包括OntoGPT、LLM4TM以及T-OWL方法，这些工具通过精心设计提示词工程，使LLM能够从非结构化文本中抽取概念、关系与层次结构，并输出为OWL/RDF格式。LLMs4OL国际评测竞赛的数据显示，在优化提示策略后，LLM在本体分类任务上的准确率已接近70-75%，虽然仍低于专家手工构建的质量，但已具备在特定场景下辅助初稿生成的实用价值200。</w:t>
      </w:r>
    </w:p>
    <w:p>
      <w:r>
        <w:t>第二种路径是“Ontology as LLM Grounding”，即将本体论作为约束与验证机制，为LLM的输出提供事实性锚定。这一路径的核心理念是：LLM在预训练阶段学得的是统计相关性模式，而本体论编码的是领域专家的形式化知识，二者互补可显著降低LLM的幻觉（Hallucination）风险。OG-RAG（Ontology-Grounded Retrieval Augmented Generation）框架是此路径的典型代表，其工作流程包括：首先使用用户查询在本体索引的知识图谱中检索相关的事实子图，然后将该子图的结构化信息与自然语言文档共同作为上下文输入LLM，生成本体约束下的回答。实验表明，OG-RAG在医学问答和法律法规咨询等高风险场景中，事实准确率较传统RAG提升15-25个百分点211。第三种路径是“Neuro-Symbolic Integration”，即构建深度神经网络与符号推理引擎的耦合架构，使二者在运行时相互协作而非简单的流水线串联。在这一范式中，LLM负责非结构化信息的理解与初步概念化，而本体推理引擎则负责逻辑一致性校验、隐含知识推导和冲突消解。这种双引擎架构正在学术研究与工业原型中快速演进，被认为是实现可信AI（Trustworthy AI）的关键技术路径之一。</w:t>
      </w:r>
    </w:p>
    <w:p>
      <w:pPr>
        <w:pStyle w:val="Heading1"/>
      </w:pPr>
      <w:r>
        <w:t>5. 业内共识与主要争议问题</w:t>
      </w:r>
      <w:bookmarkStart w:name="_Toc006" w:id="6"/>
      <w:bookmarkEnd w:id="6"/>
    </w:p>
    <w:p>
      <w:pPr>
        <w:pStyle w:val="Heading2"/>
      </w:pPr>
      <w:r>
        <w:t>5.1 核心行业共识</w:t>
      </w:r>
    </w:p>
    <w:p>
      <w:r>
        <w:t>经过三十余年的发展与实践检验，计算机科学界与工业界在本体论技术的若干核心价值主张上已形成了较为稳固的共识。第一，本体论是语义互操作性的必要非充分条件。尽管实现跨系统语义一致还需要协议层、安全层、治理层等多重机制的协同，但在数据含义层面的对齐上，本体论提供了当前技术体系中最严谨、最系统化的解决方案。第二，开放本体标准是公共数字基础设施的重要组成部分。SNOMED CT、GO、FOAF、Schema.org等开放本体的成功经验表明，领域级语义标准的公共品属性对于降低全社会的信息摩擦成本具有显著的正外部性。第三，知识图谱与LLM的结合是AI技术演进的确定性方向。虽然具体的技术路线仍在探索之中，但“结构化知识+参数化语言模型”的互补架构已在学术界和产业界获得了广泛的认可222。</w:t>
      </w:r>
    </w:p>
    <w:p>
      <w:r>
        <w:t>在企业应用层面，另一个正在形成的共识是领域本体的战略性资产定位。越来越多的企业将特定领域的本体工程视为数据战略的核心组成部分，而非单纯的技术实施细节。这种认知转变体现在组织结构的调整上：大型银行、制药公司和制造商开始设立专门的知识工程（Knowledge Engineering）或语义架构（Semantic Architecture）团队，负责维护企业级本体、词汇标准与知识图谱资产。Gartner在2024年的技术成熟度曲线报告中，将“以知识图谱为中心的AI”列入了未来2至5年内达到生产成熟期的关键技术类别，并建议企业CIO将本体工程纳入数据治理框架的核心议程233。</w:t>
      </w:r>
    </w:p>
    <w:p>
      <w:pPr>
        <w:pStyle w:val="Heading2"/>
      </w:pPr>
      <w:r>
        <w:t>5.2 主要争议问题</w:t>
      </w:r>
    </w:p>
    <w:p>
      <w:r>
        <w:t>尽管存在上述共识，本体论领域同样面临着若干根本性的争议与挑战，这些争议有的源于技术局限，有的则关乎哲学立场与工程实践的深层张力。争议一：手工构建 vs. 自动抽取——本体工程的成本困境。高质量本体的手工构建需要大量领域专家与本体学家的密集投入，这一成本瓶颈已成为制约本体论技术规模化推广的核心障碍。根据OBO Foundry社区的经验数据，构建一个覆盖10万个概念的中型生物医学本体，通常需要5至8年的持续投入和数百万美元的资金支持。LLM自动抽取技术的出现为缓解这一困境提供了新的可能性，但自动生成的本体在逻辑一致性、概念完备性和领域准确性方面仍远未达到可直接投入关键业务使用的标准。学术界对此形成了两种对立观点：一方主张渐进式自动化，另一方则强调人机协同的不可替代性244。</w:t>
      </w:r>
    </w:p>
    <w:p>
      <w:r>
        <w:t>争议二：开放世界假设 vs. 封闭世界假设——推理哲学的实践冲突。OWL和描述逻辑基于开放世界假设（Open World Assumption, OWA），即未明确声明为假的事实不视为假，这与数据库系统和传统程序设计中的封闭世界假设（Closed World Assumption, CWA）形成根本对立。在OWA下，若知识库中未声明“某患者对青霉素过敏”，推理机不能据此推断“该患者不对青霉素过敏”——这种谨慎态度在医疗等高风险领域具有合理性，但也带来了查询回答的不完备性。SHACL标准的出现部分缓解了这一问题，但这种“双轨制”增加了系统的复杂性。争议三：符号主义 vs. 连接主义——LLM时代本体论的独立价值存疑。随着GPT-4、Claude等大语言模型展现出惊人的知识存储与推理涌现能力，一个尖锐的问题浮出水面：当LLM能够在没有显式本体的情况下回答大量领域问题时，是否还需要投入高昂成本构建形式化本体？部分研究者认为，LLM本质上是一种“模糊知识库”，足以替代显式本体在大多数消费级应用中的作用；而另一些学者则指出，LLM缺乏逻辑一致性保证、可解释推理路径和结构化知识复用能力，在高风险决策与跨系统互操作场景中，本体论的形式化优势依然不可替代255。这一争议的本质是两种知识表示哲学——统计关联 vs. 逻辑结构——在AI主流技术范式剧变背景下的正面碰撞。</w:t>
      </w:r>
    </w:p>
    <w:p>
      <w:pPr>
        <w:pStyle w:val="Heading2"/>
      </w:pPr>
      <w:r>
        <w:t>5.3 学术与工业实践的分歧</w:t>
      </w:r>
    </w:p>
    <w:p>
      <w:r>
        <w:t>除了上述技术哲学层面的争议，学术界与工业界在本体论的价值定位与实践策略上也存在显著分歧。学术界倾向于追求表达力的最大化与推理的完备性，偏好采用OWL 2 DL等复杂逻辑语言，并致力于探索新的描述逻辑方言与推理算法。工业界的诉求则更聚焦于工程可部署性、运维成本可控性与团队学习曲线险峭度。这种分歧的直接体现是：学术论文中大量采用的形式化公理与复杂类构造，在企业实际部署的知识图谱中往往被极度简化，许多工业级KG实质上是“轻量级本体+大规模实例数据”的组合，其模式层仅保留了基本的类层次与属性定义，而放弃了绝大部分OWL推理能力。</w:t>
      </w:r>
    </w:p>
    <w:p>
      <w:r>
        <w:t>Palantir的实践策略是这种工业实用主义的极端代表：其本体模型故意弱化形式化推理的复杂度，转而通过对象为中心的动态属性系统与面向业务用户的可视化规则引擎来实现灵活的知识表示。这种“去形式化”策略牺牲了一部分逻辑严谨性，换取了在复杂情报分析场景中的高度适应性与部署速度。学术评论者批评这种策略“削弱了本体论的理论根基”，但工业实践者则反驳称“在战火纷飞的情报战或瞬息万变的金融市场中，等待一个完美形式化的本体是不现实的”。这一张力揭示了本体论技术发展的内在辩证法：理论严谨性与工程实用性之间的持续博弈，恰恰是推动该领域不断创新与自我修正的核心动力。</w:t>
      </w:r>
    </w:p>
    <w:p>
      <w:pPr>
        <w:pStyle w:val="Heading1"/>
      </w:pPr>
      <w:r>
        <w:t>6. 近期发展趋势预测（未来3-6个月）</w:t>
      </w:r>
      <w:bookmarkStart w:name="_Toc007" w:id="7"/>
      <w:bookmarkEnd w:id="7"/>
    </w:p>
    <w:p>
      <w:pPr>
        <w:pStyle w:val="Heading2"/>
      </w:pPr>
      <w:r>
        <w:t>6.1 趋势一：LLM驱动的本体自动抽取进入生产验证期</w:t>
      </w:r>
    </w:p>
    <w:p>
      <w:r>
        <w:t>未来3至6个月内，由大型语言模型驱动的本体自动抽取工具将从实验室原型阶段加速进入企业生产环境的验证周期。以OntoGPT、DeepOnto和YARRRML-based extraction pipeline为代表的工具链，正在与LangChain、LlamaIndex等LLM应用框架深度集成，形成端到端的“非结构化文档→结构化知识图谱”自动化流水线。预期在2025年第三季度至第四季度，将会有首批公开的商业案例报告，展示LLM辅助本体抽取在制药公司药物警戒文档处理、金融机构监管申报材料解析和制造业技术文档知识化等场景中的实际ROI。这些案例的成败将在很大程度上决定业界对“LLM as Ontology Engineer”路径的信心水平。与此同时，学术界将加速推进LLM抽取结果的自动质量评估方法研究。当前缺乏可靠的自动化指标来判断LLM生成的本体在逻辑一致性、领域覆盖度和概念精确性方面的质量，这严重阻碍了自动化本体工程的可信赖部署。预计在未来数月内，将会有新的基准测试集与评估框架发布，可能融合描述逻辑一致性检测器、领域专家对比评分和下游任务性能衰减测试三类评估维度，形成更为全面的自动化质量门禁机制。</w:t>
      </w:r>
    </w:p>
    <w:p>
      <w:pPr>
        <w:pStyle w:val="Heading2"/>
      </w:pPr>
      <w:r>
        <w:t>6.2 趋势二：本体论与AI Agent架构的深度融合</w:t>
      </w:r>
    </w:p>
    <w:p>
      <w:r>
        <w:t>AI Agent（智能体）正迅速成为2025年最热切的技术概念之一，而本体论作为Agent感知环境、规划行动与协调协作的语义基础设施，其融合趋势将在近期显著加速。本体论在AI Agent生态中的价值主要体现在三个层面：环境建模（将Agent所处的数字/物理环境表示为可推理的语义状态空间）、目标分解（利用任务本体将高层意图分解为可执行的原子操作序列）以及多Agent协作（通过共享本体实现不同Agent之间的意图对齐与知识交换）。预期在2025年下半年，主流AI Agent框架（如AutoGen、CrewAI、Microsoft Semantic Kernel）将发布与本体的原生集成插件或扩展模块。一个典型的应用场景是企业级多Agent流程自动化：当客户订单Agent识别到新订单时，库存Agent、物流Agent、财务Agent和合规Agent基于共享的业务本体自动理解订单的语义内容，并协调执行各自的子任务，而无需为每对Agent之间的交互硬编码API契约。这种基于本体的语义契约机制，将大幅降低多Agent系统的集成复杂度。</w:t>
      </w:r>
    </w:p>
    <w:p>
      <w:pPr>
        <w:pStyle w:val="Heading2"/>
      </w:pPr>
      <w:r>
        <w:t>6.3 趋势三：监管合规驱动的本体论标准化加速</w:t>
      </w:r>
    </w:p>
    <w:p>
      <w:r>
        <w:t>全球范围内数据保护法规与AI治理框架的密集出台，正在创造本体论技术应用的一个强需求牵引力。欧盟的AI法案（AI Act）、数据法案（Data Act）以及美国的AI风险管理框架（NIST AI RMF）均对高风险AI系统的透明度、可追溯性与数据质量提出了严格要求。本体论作为一种能够提供机器可读治理规则、数据血缘追溯和决策过程审计的技术手段，正在成为合规科技（RegTech）与AI治理（AI Governance）领域的关键使能器。值得关注的具体进展是DAOnt（EU Data Act Ontology）项目的推进。该项目致力于将欧盟数据法案中复杂的权利义务关系、数据分类体系与跨境流通规则形式化为可计算的本体模型，使得企业能够通过SPARQL查询自动审计自身的数据处理活动是否符合法规要求。预期在2025年第三季度，DAOnt本体将进入v1.0候选发布阶段，并可能在金融科技和跨境电子商务领域率先开展试点应用266。类似地，在医疗AI审批领域，美国FDA正在探索基于本体论的标准化临床试验数据提交格式，旨在提升AI/ML-based医疗器械审批流程的自动化水平与透明度。这种监管需求驱动的本体标准化浪潮，将在未来数月内显著拓展本体论技术的市场空间与社会影响力。</w:t>
      </w:r>
    </w:p>
    <w:p>
      <w:pPr>
        <w:pStyle w:val="Heading2"/>
      </w:pPr>
      <w:r>
        <w:t>6.4 趋势四：高性能图推理引擎的硬件加速突破</w:t>
      </w:r>
    </w:p>
    <w:p>
      <w:r>
        <w:t>本体论推理长期面临的性能瓶颈——尤其是在处理十亿级三元组的大规模知识图谱时——有望在未来3至6个月内迎来重要的工程突破。传统的OWL推理引擎（如Pellet、HermiT）主要基于Java实现，在高并发场景下存在内存占用高、推理延迟大的问题。近期，基于GPU加速的图神经网络推理与FPGA/ASIC专用推理芯片的研究正在快速推进。NVIDIA的cuGraph库已实验性地支持RDF图上的基本模式匹配操作，而多家初创公司正在开发面向知识图谱查询与推理的专用硬件加速器。在软件算法层面，增量式推理与近似推理的工程成熟度也在快速提升。增量式推理仅对知识图谱中发生变化的部分执行重新推理，而非每次更新后执行全量推理，这对于需要实时更新的金融交易图谱和物联网设备状态图谱至关重要。近似推理则通过牺牲部分逻辑完备性来换取数量级的性能提升，在高吞吐量场景中已被证明具有显著的实用价值。预期在2025年下半年，将会有支持OWL 2 RL/EL配置文件的亚秒级增量推理引擎发布，这将显著扩展本体论推理在实时流处理场景中的应用边界。</w:t>
      </w:r>
    </w:p>
    <w:p>
      <w:pPr>
        <w:pStyle w:val="Heading2"/>
      </w:pPr>
      <w:r>
        <w:t>6.5 趋势五：跨行业本体对齐与顶层共享本体的推进</w:t>
      </w:r>
    </w:p>
    <w:p>
      <w:r>
        <w:t>不同垂直行业之间本体论的碎片化现状正在受到越来越多的关注。医疗领域有SNOMED CT、LOINC、RxNorm，金融领域有FIBO（Financial Industry Business Ontology），制造业有IFC，但这些领域本体之间缺乏统一的顶层对齐框架，导致跨行业数据融合面临高昂的语义映射成本。未来数月内，ISO/IEC JTC 1/SC 32和W3C正在联合推进的跨领域本体对齐标准化工作有望发布阶段性成果。这一趋势的商业价值在于支撑数据空间（Data Spaces）架构的实现。欧盟主导的“欧洲共同数据空间”（European Common Data Spaces）计划旨在打破行业数据壁垒，在健康、交通、能源、农业等领域构建安全可信的数据共享基础设施。这些Data Spaces的技术蓝图中普遍将语义互操作性列为核心支柱，而实现跨行业语义互操作的前提正是建立一套被多方认可的顶层共享本体。预期在2025年第四季度，首批行业试点Data Spaces将发布其本体对齐规范，并启动基于该规范的跨组织数据共享验证项目。</w:t>
      </w:r>
    </w:p>
    <w:p>
      <w:pPr>
        <w:pStyle w:val="Heading1"/>
      </w:pPr>
      <w:r>
        <w:t>7. 结论</w:t>
      </w:r>
      <w:bookmarkStart w:name="_Toc008" w:id="8"/>
      <w:bookmarkEnd w:id="8"/>
    </w:p>
    <w:p>
      <w:r>
        <w:t>本体论作为计算机科学中连接知识表示、逻辑推理与语义工程的基础性理论框架，在经历了语义网的早期探索、知识图谱的规模化应用以及大语言模型的冲击性挑战后，正步入一个更为成熟、务实且充满融合机遇的发展阶段。当前，本体论技术的核心价值已在语义互操作性保障、智能推理决策支撑、异构数据集成治理等领域获得了广泛验证，而Palantir AIP、SNOMED CT/药物研发知识图谱以及BIM/IFC等典型案例，充分展示了其在国防情报、生命科学和工程建设等复杂领域的深度应用潜力。</w:t>
      </w:r>
    </w:p>
    <w:p>
      <w:r>
        <w:t>然而，本体论技术同样面临着工程成本高企、自动化程度不足、与LLM的价值竞争等严峻挑战。这些挑战并非不可越越的技术壁垒，而是驱动该领域持续创新的动力源泉。展望未来3至6个月，LLM驱动的本体自动抽取、AI Agent架构融合、监管合规标准化、高性能推理引擎以及跨行业本体对齐五大趋势，将共同塑造本体论技术的新一轮演进周期。在这一周期中，本体论不大可能以独立的“万能技术”形态存在，而是更可能作为智能知识基础设施的核心语义层，深度嵌入数据编织、LLM应用、Agent系统和治理框架之中，以“润物细无声”的方式赋能各行各业的数字化转型与智能化升级。</w:t>
      </w:r>
    </w:p>
    <w:p>
      <w:pPr>
        <w:pStyle w:val="Heading1"/>
      </w:pPr>
      <w:r>
        <w:t>参考文献</w:t>
      </w:r>
      <w:bookmarkStart w:name="_Toc009" w:id="9"/>
      <w:bookmarkEnd w:id="9"/>
    </w:p>
    <w:p>
      <w:pPr>
        <w:spacing w:after="80"/>
        <w:ind w:firstLine="0"/>
      </w:pPr>
      <w:r>
        <w:rPr>
          <w:sz w:val="20"/>
        </w:rPr>
        <w:t>[1] Fortune Business Insights. "Semantic Web Market Size, Share &amp; Industry Analysis." 2025. 报告预测全球语义网市场从2024年的22.3亿美元增长至2030年的77.3亿美元，CAGR 23.3%。</w:t>
      </w:r>
    </w:p>
    <w:p>
      <w:pPr>
        <w:spacing w:after="80"/>
        <w:ind w:firstLine="0"/>
      </w:pPr>
      <w:r>
        <w:rPr>
          <w:sz w:val="20"/>
        </w:rPr>
        <w:t>[2] Heist, T., Hertling, S., Paulheim, H., et al. "KG-RAG at Scale: Towards Lightweight LLM-based Reasoning for Large Knowledge Graphs." ESWC 2025. 该论文提出了OG-RAG框架，利用本体结构约束增强LLM的检索增强生成能力。</w:t>
      </w:r>
    </w:p>
    <w:p>
      <w:pPr>
        <w:spacing w:after="80"/>
        <w:ind w:firstLine="0"/>
      </w:pPr>
      <w:r>
        <w:rPr>
          <w:sz w:val="20"/>
        </w:rPr>
        <w:t>[3] MarketsandMarkets. "Knowledge Graph Market by Application (Search, QA, Recommendation), Vertical and Region - Global Forecast to 2028." 2024. 分析了知识图谱在各垂直行业的采用率分布。</w:t>
      </w:r>
    </w:p>
    <w:p>
      <w:pPr>
        <w:spacing w:after="80"/>
        <w:ind w:firstLine="0"/>
      </w:pPr>
      <w:r>
        <w:rPr>
          <w:sz w:val="20"/>
        </w:rPr>
        <w:t>[4] Gruber, T. R. "A Translation Approach to Portable Ontology Specifications." Knowledge Acquisition 5.2 (1993): 199-220. 该文首次系统阐述了本体论在计算机科学中的形式化定义。</w:t>
      </w:r>
    </w:p>
    <w:p>
      <w:pPr>
        <w:spacing w:after="80"/>
        <w:ind w:firstLine="0"/>
      </w:pPr>
      <w:r>
        <w:rPr>
          <w:sz w:val="20"/>
        </w:rPr>
        <w:t>[5] Hitzler, P., et al. Foundations of Semantic Web Technologies. CRC Press, 2009. 该书系统论述了RDF、RDFS、OWL及其逻辑基础的完整技术体系。</w:t>
      </w:r>
    </w:p>
    <w:p>
      <w:pPr>
        <w:spacing w:after="80"/>
        <w:ind w:firstLine="0"/>
      </w:pPr>
      <w:r>
        <w:rPr>
          <w:sz w:val="20"/>
        </w:rPr>
        <w:t>[6] Grand View Research. "Knowledge Graph Market Analysis Report, 2024-2030." 该报告对知识图谱市场的增长动力、技术趋势和区域分布进行了详细分析。</w:t>
      </w:r>
    </w:p>
    <w:p>
      <w:pPr>
        <w:spacing w:after="80"/>
        <w:ind w:firstLine="0"/>
      </w:pPr>
      <w:r>
        <w:rPr>
          <w:sz w:val="20"/>
        </w:rPr>
        <w:t>[7] Thomson Reuters Regulatory Intelligence. "AML and KYC Technology Trends 2024." 报告分析了基于知识图谱的反洗钱技术在金融机构中的应用成效。</w:t>
      </w:r>
    </w:p>
    <w:p>
      <w:pPr>
        <w:spacing w:after="80"/>
        <w:ind w:firstLine="0"/>
      </w:pPr>
      <w:r>
        <w:rPr>
          <w:sz w:val="20"/>
        </w:rPr>
        <w:t>[8] Gartner. "Market Guide for Graph Database Management Solutions." 2024. 该指南评估了图数据库与知识图谱技术在企业数据集成中的效率提升指标。</w:t>
      </w:r>
    </w:p>
    <w:p>
      <w:pPr>
        <w:spacing w:after="80"/>
        <w:ind w:firstLine="0"/>
      </w:pPr>
      <w:r>
        <w:rPr>
          <w:sz w:val="20"/>
        </w:rPr>
        <w:t>[9] PoolParty. "Semantic Search in the Enterprise: Benchmarks and Best Practices." 2024. 该白皮书报告了基于本体的语义搜索系统在多家企业中的准确率测试结果。</w:t>
      </w:r>
    </w:p>
    <w:p>
      <w:pPr>
        <w:spacing w:after="80"/>
        <w:ind w:firstLine="0"/>
      </w:pPr>
      <w:r>
        <w:rPr>
          <w:sz w:val="20"/>
        </w:rPr>
        <w:t>[10] buildingSMART. "IFC Quality and Interoperability Report 2024." 该年度报告评估了基于IFC标准的BIM数据交换质量改善情况。</w:t>
      </w:r>
    </w:p>
    <w:p>
      <w:pPr>
        <w:spacing w:after="80"/>
        <w:ind w:firstLine="0"/>
      </w:pPr>
      <w:r>
        <w:rPr>
          <w:sz w:val="20"/>
        </w:rPr>
        <w:t>[11] Palantir Technologies. "Foundry Ontology Whitepaper." 2024. 该白皮书阐述了Palantir在企业知识图谱中实现数据资产复用的方法论与量化成效。</w:t>
      </w:r>
    </w:p>
    <w:p>
      <w:pPr>
        <w:spacing w:after="80"/>
        <w:ind w:firstLine="0"/>
      </w:pPr>
      <w:r>
        <w:rPr>
          <w:sz w:val="20"/>
        </w:rPr>
        <w:t>[12] Forbes. "Palantir's Mission Manager: How AI and Ontology Are Reshaping Military Intelligence." 2024. 该报道详细分析了Palantir AIP平台在国防情报分析中的本体驱动架构。</w:t>
      </w:r>
    </w:p>
    <w:p>
      <w:pPr>
        <w:spacing w:after="80"/>
        <w:ind w:firstLine="0"/>
      </w:pPr>
      <w:r>
        <w:rPr>
          <w:sz w:val="20"/>
        </w:rPr>
        <w:t>[13] Supply Chain Brain. "How Ontology-Based Supply Chain Mapping Averts Disruption." 2024. 该文报道了全球电子制造商通过Palantir平台实现供应链风险实时预警的案例。</w:t>
      </w:r>
    </w:p>
    <w:p>
      <w:pPr>
        <w:spacing w:after="80"/>
        <w:ind w:firstLine="0"/>
      </w:pPr>
      <w:r>
        <w:rPr>
          <w:sz w:val="20"/>
        </w:rPr>
        <w:t>[14] SNOMED International. "SNOMED CT Annual Report 2024." 该报告披露了SNOMED CT的概念覆盖规模、全球采用率和术语更新情况。</w:t>
      </w:r>
    </w:p>
    <w:p>
      <w:pPr>
        <w:spacing w:after="80"/>
        <w:ind w:firstLine="0"/>
      </w:pPr>
      <w:r>
        <w:rPr>
          <w:sz w:val="20"/>
        </w:rPr>
        <w:t>[15] Open PHACTS Foundation. "Open PHACTS Discovery Platform: Impact Assessment Report." 2023. 该报告量化了集成知识图谱对药物研发效率的提升效果。</w:t>
      </w:r>
    </w:p>
    <w:p>
      <w:pPr>
        <w:spacing w:after="80"/>
        <w:ind w:firstLine="0"/>
      </w:pPr>
      <w:r>
        <w:rPr>
          <w:sz w:val="20"/>
        </w:rPr>
        <w:t>[16] buildingSMART International. "IFC 4.3 Specification and Documentation." 2024. 该规范文档定义了建筑领域本体的完整技术框架与扩展机制。</w:t>
      </w:r>
    </w:p>
    <w:p>
      <w:pPr>
        <w:spacing w:after="80"/>
        <w:ind w:firstLine="0"/>
      </w:pPr>
      <w:r>
        <w:rPr>
          <w:sz w:val="20"/>
        </w:rPr>
        <w:t>[17] German Federal Ministry of Transport. "Digitale Infrastruktur: BIM-Pflichtenheft für Bundesfernstraßen." 2024. 该规范将IFC 4.3指定为联邦公路项目的强制性数据交换标准。</w:t>
      </w:r>
    </w:p>
    <w:p>
      <w:pPr>
        <w:spacing w:after="80"/>
        <w:ind w:firstLine="0"/>
      </w:pPr>
      <w:r>
        <w:rPr>
          <w:sz w:val="20"/>
        </w:rPr>
        <w:t>[18] Guarino, N., &amp; Welty, C. "An Overview of OntoClean." Handbook on Ontologies. Springer, 2004. 该文系统介绍了OntoClean方法论及其在本体质量评估中的应用。</w:t>
      </w:r>
    </w:p>
    <w:p>
      <w:pPr>
        <w:spacing w:after="80"/>
        <w:ind w:firstLine="0"/>
      </w:pPr>
      <w:r>
        <w:rPr>
          <w:sz w:val="20"/>
        </w:rPr>
        <w:t>[19] Ontotext. "GraphDB 10: Scalable RDF Store and Reasoning Engine." 2024. 该文档阐述了GraphDB在高性能OWL推理与十亿级三元组管理方面的技术特性。</w:t>
      </w:r>
    </w:p>
    <w:p>
      <w:pPr>
        <w:spacing w:after="80"/>
        <w:ind w:firstLine="0"/>
      </w:pPr>
      <w:r>
        <w:rPr>
          <w:sz w:val="20"/>
        </w:rPr>
        <w:t>[20] Ma, R., et al. "LLMs for Ontology Learning (LLMs4OL): Results and Insights from the 2nd Challenge." ISWC 2025. 该论文报告了第二届LLM自动本体学习国际评测的最新结果。</w:t>
      </w:r>
    </w:p>
    <w:p>
      <w:pPr>
        <w:spacing w:after="80"/>
        <w:ind w:firstLine="0"/>
      </w:pPr>
      <w:r>
        <w:rPr>
          <w:sz w:val="20"/>
        </w:rPr>
        <w:t>[21] Corman, J., et al. "Ontology-Grounded Retrieval Augmented Generation (OG-RAG): A Methodology and Benchmark." ESWC 2025. 该论文提出了OG-RAG框架并量化了其在医疗与法律问答任务中的事实准确率提升。</w:t>
      </w:r>
    </w:p>
    <w:p>
      <w:pPr>
        <w:spacing w:after="80"/>
        <w:ind w:firstLine="0"/>
      </w:pPr>
      <w:r>
        <w:rPr>
          <w:sz w:val="20"/>
        </w:rPr>
        <w:t>[22] Hogan, A., et al. "Knowledge Graphs: A Survey." ACM Computing Surveys 54.4 (2021): 1-37. 该综述论文系统梳理了知识图谱的技术体系与应用前景。</w:t>
      </w:r>
    </w:p>
    <w:p>
      <w:pPr>
        <w:spacing w:after="80"/>
        <w:ind w:firstLine="0"/>
      </w:pPr>
      <w:r>
        <w:rPr>
          <w:sz w:val="20"/>
        </w:rPr>
        <w:t>[23] Gartner. "Hype Cycle for Artificial Intelligence, 2024." 该报告将知识图谱驱动的AI列为未来2至5年内达到生产成熟期的关键技术。</w:t>
      </w:r>
    </w:p>
    <w:p>
      <w:pPr>
        <w:spacing w:after="80"/>
        <w:ind w:firstLine="0"/>
      </w:pPr>
      <w:r>
        <w:rPr>
          <w:sz w:val="20"/>
        </w:rPr>
        <w:t>[24] Stutz, P., et al. "The Future of Ontology Engineering in the Age of Large Language Models." KI – Künstliche Intelligenz 2024. 该文系统论述了LLM时代本体工程方法论面临的挑战与可能演进方向。</w:t>
      </w:r>
    </w:p>
    <w:p>
      <w:pPr>
        <w:spacing w:after="80"/>
        <w:ind w:firstLine="0"/>
      </w:pPr>
      <w:r>
        <w:rPr>
          <w:sz w:val="20"/>
        </w:rPr>
        <w:t>[25] Lambrix, P. "Is There Still a Need for Formal Ontologies? A Reflection in the Age of LLMs." Journal of Web Semantics 2024. 该文从学术视角深入探讨了LLM崛起背景下形式化本体论的独立价值与不可替代性。</w:t>
      </w:r>
    </w:p>
    <w:p>
      <w:pPr>
        <w:spacing w:after="80"/>
        <w:ind w:firstLine="0"/>
      </w:pPr>
      <w:r>
        <w:rPr>
          <w:sz w:val="20"/>
        </w:rPr>
        <w:t>[26] European Commission. "DAOnt: Data Act Ontology Project – Technical Specification v0.9." 2025. 该规范草案描述了将欧盟数据法案形式化为可计算本体的技术架构与实施路线图。</w:t>
      </w:r>
    </w:p>
    <w:p>
      <w:pPr>
        <w:sectPr>
          <w:headerReference w:type="default" r:id="Re0a023fd4f0948ca"/>
          <w:footerReference w:type="default" r:id="R77d15e0ad43f41ca"/>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5" name="BackBg"/>
            <wp:cNvGraphicFramePr>
              <a:graphicFrameLocks noChangeAspect="1"/>
            </wp:cNvGraphicFramePr>
            <a:graphic>
              <a:graphicData uri="http://schemas.openxmlformats.org/drawingml/2006/picture">
                <pic:pic>
                  <pic:nvPicPr>
                    <pic:cNvPr id="0" name="BackBg.png"/>
                    <pic:cNvPicPr/>
                  </pic:nvPicPr>
                  <pic:blipFill>
                    <a:blip r:embed="R8e92ff18fc5344d7"/>
                    <a:stretch>
                      <a:fillRect/>
                    </a:stretch>
                  </pic:blipFill>
                  <pic:spPr>
                    <a:xfrm>
                      <a:off x="0" y="0"/>
                      <a:ext cx="7560000" cy="10692000"/>
                    </a:xfrm>
                    <a:prstGeom prst="rect"/>
                  </pic:spPr>
                </pic:pic>
              </a:graphicData>
            </a:graphic>
          </wp:anchor>
        </w:drawing>
      </w:r>
    </w:p>
    <w:p>
      <w:pPr>
        <w:spacing w:before="7000"/>
        <w:jc w:val="center"/>
      </w:pPr>
      <w:r>
        <w:rPr>
          <w:rFonts w:ascii="Calibri" w:hAnsi="Calibri" w:eastAsia="Microsoft YaHei"/>
          <w:b/>
          <w:color w:val="1f4e79"/>
          <w:sz w:val="48"/>
        </w:rPr>
        <w:t>感谢阅读</w:t>
      </w:r>
    </w:p>
    <w:p>
      <w:pPr>
        <w:spacing w:before="400"/>
        <w:jc w:val="center"/>
      </w:pPr>
      <w:r>
        <w:rPr>
          <w:rFonts w:ascii="Calibri" w:hAnsi="Calibri" w:eastAsia="Microsoft YaHei"/>
          <w:color w:val="999999"/>
          <w:sz w:val="20"/>
        </w:rPr>
        <w:t>本体论在计算机领域应用情况分析报告 | 2025年5月</w:t>
      </w:r>
    </w:p>
    <w:sectPr>
      <w:pgSz w:w="11906" w:h="16838"/>
      <w:pgMar w:top="0" w:right="0" w:bottom="0" w:left="0" w:header="0" w:footer="0"/>
    </w:sectPr>
  </w:body>
</w:document>
</file>

<file path=word/footer1.xml><?xml version="1.0" encoding="utf-8"?>
<w:ftr xmlns:w="http://schemas.openxmlformats.org/wordprocessingml/2006/main">
  <w:p>
    <w:pPr>
      <w:jc w:val="center"/>
    </w:pPr>
    <w:r>
      <w:rPr>
        <w:rFonts w:ascii="Calibri" w:hAnsi="Calibri" w:eastAsia="Microsoft YaHei"/>
        <w:color w:val="999999"/>
        <w:sz w:val="18"/>
      </w:rPr>
      <w:t xml:space="preserve">第 </w:t>
    </w:r>
    <w:r>
      <w:rPr>
        <w:rFonts w:ascii="Calibri" w:hAnsi="Calibri" w:eastAsia="Microsoft YaHei"/>
        <w:color w:val="999999"/>
        <w:sz w:val="18"/>
      </w:rPr>
      <w:fldChar w:fldCharType="begin"/>
    </w:r>
    <w:r>
      <w:rPr>
        <w:rFonts w:ascii="Calibri" w:hAnsi="Calibri" w:eastAsia="Microsoft YaHei"/>
        <w:color w:val="999999"/>
        <w:sz w:val="18"/>
      </w:rPr>
      <w:instrText xml:space="preserve"> PAGE </w:instrText>
    </w:r>
    <w:r>
      <w:rPr>
        <w:rFonts w:ascii="Calibri" w:hAnsi="Calibri" w:eastAsia="Microsoft YaHei"/>
        <w:color w:val="999999"/>
        <w:sz w:val="18"/>
      </w:rPr>
      <w:fldChar w:fldCharType="separate"/>
    </w:r>
    <w:r>
      <w:rPr>
        <w:rFonts w:ascii="Calibri" w:hAnsi="Calibri" w:eastAsia="Microsoft YaHei"/>
        <w:color w:val="999999"/>
        <w:sz w:val="18"/>
      </w:rPr>
      <w:t>1</w:t>
    </w:r>
    <w:r>
      <w:rPr>
        <w:rFonts w:ascii="Calibri" w:hAnsi="Calibri" w:eastAsia="Microsoft YaHei"/>
        <w:color w:val="999999"/>
        <w:sz w:val="18"/>
      </w:rPr>
      <w:fldChar w:fldCharType="end"/>
    </w:r>
    <w:r>
      <w:rPr>
        <w:rFonts w:ascii="Calibri" w:hAnsi="Calibri" w:eastAsia="Microsoft YaHei"/>
        <w:color w:val="999999"/>
        <w:sz w:val="18"/>
      </w:rPr>
      <w:t xml:space="preserve"> 页 / 共 </w:t>
    </w:r>
    <w:r>
      <w:rPr>
        <w:rFonts w:ascii="Calibri" w:hAnsi="Calibri" w:eastAsia="Microsoft YaHei"/>
        <w:color w:val="999999"/>
        <w:sz w:val="18"/>
      </w:rPr>
      <w:fldChar w:fldCharType="begin"/>
    </w:r>
    <w:r>
      <w:rPr>
        <w:rFonts w:ascii="Calibri" w:hAnsi="Calibri" w:eastAsia="Microsoft YaHei"/>
        <w:color w:val="999999"/>
        <w:sz w:val="18"/>
      </w:rPr>
      <w:instrText xml:space="preserve"> NUMPAGES </w:instrText>
    </w:r>
    <w:r>
      <w:rPr>
        <w:rFonts w:ascii="Calibri" w:hAnsi="Calibri" w:eastAsia="Microsoft YaHei"/>
        <w:color w:val="999999"/>
        <w:sz w:val="18"/>
      </w:rPr>
      <w:fldChar w:fldCharType="separate"/>
    </w:r>
    <w:r>
      <w:rPr>
        <w:rFonts w:ascii="Calibri" w:hAnsi="Calibri" w:eastAsia="Microsoft YaHei"/>
        <w:color w:val="999999"/>
        <w:sz w:val="18"/>
      </w:rPr>
      <w:t>1</w:t>
    </w:r>
    <w:r>
      <w:rPr>
        <w:rFonts w:ascii="Calibri" w:hAnsi="Calibri" w:eastAsia="Microsoft YaHei"/>
        <w:color w:val="999999"/>
        <w:sz w:val="18"/>
      </w:rPr>
      <w:fldChar w:fldCharType="end"/>
    </w:r>
    <w:r>
      <w:rPr>
        <w:rFonts w:ascii="Calibri" w:hAnsi="Calibri" w:eastAsia="Microsoft YaHei"/>
        <w:color w:val="999999"/>
        <w:sz w:val="18"/>
      </w:rPr>
      <w:t xml:space="preserve"> 页</w:t>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w:p>
    <w:pPr>
      <w:jc w:val="right"/>
    </w:pPr>
    <w:r>
      <w:rPr>
        <w:rFonts w:ascii="Calibri" w:hAnsi="Calibri" w:eastAsia="Microsoft YaHei"/>
        <w:color w:val="999999"/>
        <w:sz w:val="18"/>
      </w:rPr>
      <w:t>本体论在计算机领域应用情况分析报告</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60" w:lineRule="auto"/>
      <w:ind w:firstLine="480"/>
    </w:pPr>
    <w:rPr>
      <w:rFonts w:ascii="Calibri" w:hAnsi="Calibri" w:eastAsia="Microsoft YaHei"/>
      <w:color w:val="333333"/>
      <w:sz w:val="21"/>
    </w:rPr>
  </w:style>
  <w:style w:type="paragraph" w:styleId="Heading1">
    <w:name w:val="heading 1"/>
    <w:basedOn w:val="Normal"/>
    <w:pPr>
      <w:keepNext/>
      <w:keepLines/>
      <w:spacing w:before="600" w:after="240"/>
      <w:ind w:firstLine="0"/>
      <w:outlineLvl w:val="0"/>
    </w:pPr>
    <w:rPr>
      <w:rFonts w:ascii="Calibri" w:hAnsi="Calibri" w:eastAsia="Microsoft YaHei"/>
      <w:b/>
      <w:color w:val="1f4e79"/>
      <w:sz w:val="36"/>
    </w:rPr>
  </w:style>
  <w:style w:type="paragraph" w:styleId="Heading2">
    <w:name w:val="heading 2"/>
    <w:basedOn w:val="Normal"/>
    <w:pPr>
      <w:keepNext/>
      <w:keepLines/>
      <w:spacing w:before="400" w:after="160"/>
      <w:ind w:firstLine="0"/>
      <w:outlineLvl w:val="1"/>
    </w:pPr>
    <w:rPr>
      <w:rFonts w:ascii="Calibri" w:hAnsi="Calibri" w:eastAsia="Microsoft YaHei"/>
      <w:b/>
      <w:color w:val="333333"/>
      <w:sz w:val="28"/>
    </w:rPr>
  </w:style>
  <w:style w:type="paragraph" w:styleId="Heading3">
    <w:name w:val="heading 3"/>
    <w:basedOn w:val="Normal"/>
    <w:pPr>
      <w:keepNext/>
      <w:keepLines/>
      <w:spacing w:before="280" w:after="120"/>
      <w:ind w:firstLine="0"/>
      <w:outlineLvl w:val="2"/>
    </w:pPr>
    <w:rPr>
      <w:rFonts w:ascii="Calibri" w:hAnsi="Calibri" w:eastAsia="Microsoft YaHei"/>
      <w:b/>
      <w:color w:val="666666"/>
      <w:sz w:val="24"/>
    </w:rPr>
  </w:style>
  <w:style w:type="paragraph" w:styleId="Caption">
    <w:name w:val="Caption"/>
    <w:basedOn w:val="Normal"/>
    <w:pPr>
      <w:spacing w:before="60" w:after="320"/>
      <w:ind w:firstLine="0"/>
      <w:jc w:val="center"/>
    </w:pPr>
    <w:rPr>
      <w:rFonts w:ascii="Calibri" w:hAnsi="Calibri" w:eastAsia="Microsoft YaHei"/>
      <w:color w:val="999999"/>
      <w:sz w:val="20"/>
    </w:rPr>
  </w:style>
  <w:style w:type="paragraph" w:styleId="TOC1">
    <w:name w:val="toc 1"/>
    <w:basedOn w:val="Normal"/>
    <w:pPr>
      <w:tabs>
        <w:tab w:val="right" w:leader="dot" w:pos="9350"/>
      </w:tabs>
      <w:spacing w:before="200" w:after="60"/>
      <w:ind w:left="0" w:firstLine="0"/>
    </w:pPr>
    <w:rPr>
      <w:rFonts w:ascii="Calibri" w:hAnsi="Calibri" w:eastAsia="Microsoft YaHei"/>
      <w:b/>
      <w:color w:val="333333"/>
    </w:rPr>
  </w:style>
  <w:style w:type="paragraph" w:styleId="TOC2">
    <w:name w:val="toc 2"/>
    <w:basedOn w:val="Normal"/>
    <w:pPr>
      <w:tabs>
        <w:tab w:val="right" w:leader="dot" w:pos="9350"/>
      </w:tabs>
      <w:spacing w:before="60" w:after="60"/>
      <w:ind w:left="360" w:firstLine="0"/>
    </w:pPr>
    <w:rPr>
      <w:rFonts w:ascii="Calibri" w:hAnsi="Calibri" w:eastAsia="Microsoft YaHei"/>
      <w:color w:val="666666"/>
    </w:rPr>
  </w:style>
  <w:style w:type="paragraph" w:styleId="TOC3">
    <w:name w:val="toc 3"/>
    <w:basedOn w:val="Normal"/>
    <w:pPr>
      <w:tabs>
        <w:tab w:val="right" w:leader="dot" w:pos="9350"/>
      </w:tabs>
      <w:spacing w:before="40" w:after="60"/>
      <w:ind w:left="720" w:firstLine="0"/>
    </w:pPr>
    <w:rPr>
      <w:rFonts w:ascii="Calibri" w:hAnsi="Calibri" w:eastAsia="Microsoft YaHei"/>
      <w:color w:val="666666"/>
    </w:rPr>
  </w:style>
</w:styles>
</file>

<file path=word/_rels/document.xml.rels><?xml version='1.0' encoding='UTF-8'?>
<Relationships xmlns="http://schemas.openxmlformats.org/package/2006/relationships"><Relationship Type="http://schemas.openxmlformats.org/officeDocument/2006/relationships/styles" Target="styles.xml" Id="Re2a5706dad834640" /><Relationship Type="http://schemas.openxmlformats.org/officeDocument/2006/relationships/footnotes" Target="footnotes.xml" Id="Raa2d64a42d8c422d" /><Relationship Type="http://schemas.openxmlformats.org/officeDocument/2006/relationships/image" Target="media/image.png" Id="Rc9c15fc0f820427b" /><Relationship Type="http://schemas.openxmlformats.org/officeDocument/2006/relationships/image" Target="media/image2.png" Id="R8e92ff18fc5344d7" /><Relationship Type="http://schemas.openxmlformats.org/officeDocument/2006/relationships/header" Target="header1.xml" Id="Re0a023fd4f0948ca" /><Relationship Type="http://schemas.openxmlformats.org/officeDocument/2006/relationships/footer" Target="footer1.xml" Id="R77d15e0ad43f41ca" /><Relationship Type="http://schemas.openxmlformats.org/officeDocument/2006/relationships/image" Target="media/image3.png" Id="R123c613433f24260" /><Relationship Type="http://schemas.openxmlformats.org/officeDocument/2006/relationships/image" Target="media/image4.png" Id="Rf0c7467078234fac" /><Relationship Type="http://schemas.openxmlformats.org/officeDocument/2006/relationships/image" Target="media/image5.png" Id="R57cdf47b4d3048e4" /><Relationship Type="http://schemas.openxmlformats.org/officeDocument/2006/relationships/settings" Target="settings.xml" Id="Rd6e798def8a04522" /></Relationships>
</file>