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C0B90" w14:textId="36A99787" w:rsidR="0055347A" w:rsidRDefault="0032053C">
      <w:pPr>
        <w:rPr>
          <w:b/>
          <w:bCs/>
        </w:rPr>
      </w:pPr>
      <w:r>
        <w:rPr>
          <w:b/>
          <w:bCs/>
          <w:i/>
          <w:iCs/>
        </w:rPr>
        <w:t>SwimmingIndividuals.jl</w:t>
      </w:r>
      <w:r>
        <w:rPr>
          <w:b/>
          <w:bCs/>
        </w:rPr>
        <w:t>: An individual-based ecosystem model to investigate spatially explicit food webs, bioenergetic rates, and energy budgets</w:t>
      </w:r>
    </w:p>
    <w:p w14:paraId="28F87553" w14:textId="52B87C1C" w:rsidR="0032053C" w:rsidRDefault="0032053C" w:rsidP="0032053C">
      <w:pPr>
        <w:rPr>
          <w:vertAlign w:val="superscript"/>
        </w:rPr>
      </w:pPr>
      <w:r w:rsidRPr="0032053C">
        <w:t>Matthew S. Woodstock</w:t>
      </w:r>
      <w:r w:rsidRPr="0032053C">
        <w:rPr>
          <w:vertAlign w:val="superscript"/>
        </w:rPr>
        <w:t>1,</w:t>
      </w:r>
      <w:r>
        <w:rPr>
          <w:vertAlign w:val="superscript"/>
        </w:rPr>
        <w:t>*</w:t>
      </w:r>
      <w:r>
        <w:t xml:space="preserve">, </w:t>
      </w:r>
      <w:r w:rsidRPr="0032053C">
        <w:t>Gregory L. Britten</w:t>
      </w:r>
      <w:r w:rsidRPr="0032053C">
        <w:rPr>
          <w:vertAlign w:val="superscript"/>
        </w:rPr>
        <w:t>1</w:t>
      </w:r>
    </w:p>
    <w:p w14:paraId="2600F382" w14:textId="680E72FD" w:rsidR="0032053C" w:rsidRDefault="0032053C" w:rsidP="0032053C">
      <w:r>
        <w:t>Affiliations: Woods Hole Oceanographic Institution</w:t>
      </w:r>
    </w:p>
    <w:p w14:paraId="762CB572" w14:textId="072C2AAD" w:rsidR="0032053C" w:rsidRDefault="0032053C" w:rsidP="0032053C">
      <w:r>
        <w:rPr>
          <w:i/>
          <w:iCs/>
        </w:rPr>
        <w:t xml:space="preserve">Target Journal: </w:t>
      </w:r>
      <w:r>
        <w:t>JOSS</w:t>
      </w:r>
    </w:p>
    <w:p w14:paraId="27FB0B4F" w14:textId="1BC86B8B" w:rsidR="006B59E8" w:rsidRPr="006B59E8" w:rsidRDefault="006B59E8" w:rsidP="0032053C">
      <w:r>
        <w:rPr>
          <w:b/>
          <w:bCs/>
        </w:rPr>
        <w:t>Tags</w:t>
      </w:r>
      <w:r>
        <w:t>: Julia, energetics, food webs, behavior, movement, ocean</w:t>
      </w:r>
    </w:p>
    <w:p w14:paraId="484B07E8" w14:textId="19336FCA" w:rsidR="0032053C" w:rsidRDefault="0032053C" w:rsidP="0032053C">
      <w:pPr>
        <w:rPr>
          <w:b/>
          <w:bCs/>
        </w:rPr>
      </w:pPr>
      <w:r>
        <w:rPr>
          <w:b/>
          <w:bCs/>
        </w:rPr>
        <w:t>Statement of Need</w:t>
      </w:r>
    </w:p>
    <w:p w14:paraId="49741A24" w14:textId="0C2D0984" w:rsidR="007D46A4" w:rsidRDefault="00661E4F" w:rsidP="0032053C">
      <w:r>
        <w:t>High trophic level e</w:t>
      </w:r>
      <w:r w:rsidR="007D46A4">
        <w:t>cosystem models</w:t>
      </w:r>
      <w:r>
        <w:t xml:space="preserve"> that integrate biogeochemical, biophysical, and biological processes </w:t>
      </w:r>
      <w:r>
        <w:t xml:space="preserve">(i.e., ecosystem models, hereafter) </w:t>
      </w:r>
      <w:r w:rsidR="007D46A4">
        <w:t xml:space="preserve">are becoming more readily utilized in </w:t>
      </w:r>
      <w:r w:rsidR="00881F68">
        <w:t>marine resource management</w:t>
      </w:r>
      <w:r w:rsidR="00F8433F">
        <w:t xml:space="preserve"> as there </w:t>
      </w:r>
      <w:r w:rsidR="00881F68">
        <w:t>is growing evidence that</w:t>
      </w:r>
      <w:r w:rsidR="00F8433F">
        <w:t xml:space="preserve"> predator and prey populations, </w:t>
      </w:r>
      <w:r w:rsidR="00881F68">
        <w:t>and</w:t>
      </w:r>
      <w:r w:rsidR="00F8433F">
        <w:t xml:space="preserve"> environmental factors</w:t>
      </w:r>
      <w:r w:rsidR="00881F68">
        <w:t>,</w:t>
      </w:r>
      <w:r w:rsidR="00F8433F">
        <w:t xml:space="preserve"> modulate population dynamics that </w:t>
      </w:r>
      <w:r w:rsidR="00881F68">
        <w:t>cannot be explicitly</w:t>
      </w:r>
      <w:r w:rsidR="00F8433F">
        <w:t xml:space="preserve"> resolved with </w:t>
      </w:r>
      <w:r w:rsidR="00881F68">
        <w:t>single-species</w:t>
      </w:r>
      <w:r w:rsidR="00F8433F">
        <w:t xml:space="preserve"> methods. Traditional ecosystem </w:t>
      </w:r>
      <w:r>
        <w:t>models simulate</w:t>
      </w:r>
      <w:r w:rsidR="00F8433F">
        <w:t xml:space="preserve"> the biomass trends of all species in an ecosystem, and associated effects to secondary rates (e.g., predation impacts, fisheries production)</w:t>
      </w:r>
      <w:r w:rsidR="00881F68">
        <w:t xml:space="preserve">. </w:t>
      </w:r>
      <w:r w:rsidR="009A4701">
        <w:t xml:space="preserve">Aggregated “functional groups” of similar species are often created to minimize the computational expense, or </w:t>
      </w:r>
      <w:r>
        <w:t>taxonomic</w:t>
      </w:r>
      <w:r w:rsidR="009A4701">
        <w:t xml:space="preserve"> resolution is </w:t>
      </w:r>
      <w:r>
        <w:t>replaced by size classes following macroecological theory</w:t>
      </w:r>
      <w:r w:rsidR="00AB67AE">
        <w:t xml:space="preserve">. This aggregation, even if carefully chosen, removes the influence of species-specific traits </w:t>
      </w:r>
      <w:r>
        <w:t>that influence biological traits and community structure</w:t>
      </w:r>
      <w:r>
        <w:fldChar w:fldCharType="begin"/>
      </w:r>
      <w:r>
        <w:instrText xml:space="preserve"> ADDIN ZOTERO_ITEM CSL_CITATION {"citationID":"4ldJnbdM","properties":{"formattedCitation":"\\super 1\\nosupersub{}","plainCitation":"1","noteIndex":0},"citationItems":[{"id":8688,"uris":["http://zotero.org/users/9953085/items/UTQU7RV7"],"itemData":{"id":8688,"type":"article-journal","container-title":"Global Change Biology","ISSN":"1354-1013","issue":"1","journalAbbreviation":"Global Change Biology","note":"publisher: Wiley Online Library","page":"e17065","title":"Merging trait‐based ecology and regime shift theory to anticipate community responses to warming","volume":"30","author":[{"family":"Weisberg","given":"Sarah J"},{"family":"Pershing","given":"Andrew J"},{"family":"Grigoratou","given":"Maria"},{"family":"Mills","given":"Katherine E"},{"family":"Fenwick","given":"Ileana F"},{"family":"Frisk","given":"Michael G"},{"family":"McBride","given":"Richard"},{"family":"Lucey","given":"Sean M"},{"family":"Kemberling","given":"Adam"},{"family":"Beltz","given":"Brandon"}],"issued":{"date-parts":[["2024"]]}}}],"schema":"https://github.com/citation-style-language/schema/raw/master/csl-citation.json"} </w:instrText>
      </w:r>
      <w:r>
        <w:fldChar w:fldCharType="separate"/>
      </w:r>
      <w:r w:rsidRPr="00661E4F">
        <w:rPr>
          <w:rFonts w:cs="Times New Roman"/>
          <w:kern w:val="0"/>
          <w:vertAlign w:val="superscript"/>
        </w:rPr>
        <w:t>1</w:t>
      </w:r>
      <w:r>
        <w:fldChar w:fldCharType="end"/>
      </w:r>
      <w:r>
        <w:t>. Given the vastness of marine ecosystems, traditional ecosystem models often have coarse spatial resolutions that disallow the fine-scale movements associated with behavioral impacts, which modulate predator/prey dynamics</w:t>
      </w:r>
      <w:r>
        <w:fldChar w:fldCharType="begin"/>
      </w:r>
      <w:r>
        <w:instrText xml:space="preserve"> ADDIN ZOTERO_ITEM CSL_CITATION {"citationID":"KG19Ap5l","properties":{"formattedCitation":"\\super 2\\nosupersub{}","plainCitation":"2","noteIndex":0},"citationItems":[{"id":8636,"uris":["http://zotero.org/users/9953085/items/SF5LZZG3"],"itemData":{"id":8636,"type":"article-journal","container-title":"Functional Ecology","ISSN":"0269-8463","journalAbbreviation":"Functional Ecology","note":"publisher: Wiley Online Library","title":"Dynamic energy landscapes of predators and the implications for modifying prey risk","author":[{"family":"Papastamatiou","given":"Yannis P"},{"family":"Binder","given":"Benjamin M"},{"family":"Boswell","given":"Kevin M"},{"family":"Malone","given":"Margaret A"},{"family":"Heithaus","given":"Michael R"},{"family":"Huveneers","given":"Charlie"},{"family":"Mourier","given":"Johann"},{"family":"Harborne","given":"Alastair R"}],"issued":{"date-parts":[["2023"]]}}}],"schema":"https://github.com/citation-style-language/schema/raw/master/csl-citation.json"} </w:instrText>
      </w:r>
      <w:r>
        <w:fldChar w:fldCharType="separate"/>
      </w:r>
      <w:r w:rsidRPr="00661E4F">
        <w:rPr>
          <w:rFonts w:cs="Times New Roman"/>
          <w:kern w:val="0"/>
          <w:vertAlign w:val="superscript"/>
        </w:rPr>
        <w:t>2</w:t>
      </w:r>
      <w:r>
        <w:fldChar w:fldCharType="end"/>
      </w:r>
      <w:r>
        <w:t>.</w:t>
      </w:r>
    </w:p>
    <w:p w14:paraId="0C934ED0" w14:textId="5BF3469B" w:rsidR="00F8433F" w:rsidRDefault="00AB67AE" w:rsidP="0032053C">
      <w:r>
        <w:t>An</w:t>
      </w:r>
      <w:r w:rsidR="00881F68">
        <w:t xml:space="preserve"> area where ecosystem models could be developed further is the </w:t>
      </w:r>
      <w:r w:rsidR="00661E4F">
        <w:t>inclusion</w:t>
      </w:r>
      <w:r w:rsidR="00881F68">
        <w:t xml:space="preserve"> </w:t>
      </w:r>
      <w:r w:rsidR="00661E4F">
        <w:t xml:space="preserve">of </w:t>
      </w:r>
      <w:r w:rsidR="00881F68">
        <w:t xml:space="preserve">individual </w:t>
      </w:r>
      <w:r>
        <w:t xml:space="preserve">behavioral decisions, which allows for individual-scale calculations of bioenergetic rates and </w:t>
      </w:r>
      <w:r w:rsidR="00881F68">
        <w:t>energy budgets</w:t>
      </w:r>
      <w:r>
        <w:t xml:space="preserve">. </w:t>
      </w:r>
      <w:r w:rsidR="00661E4F">
        <w:t>Nekton (i.e., animals capable of swimming against a current)</w:t>
      </w:r>
      <w:r w:rsidR="00881F68">
        <w:t xml:space="preserve"> somatic maintenance costs </w:t>
      </w:r>
      <w:r w:rsidR="00661E4F">
        <w:t>are</w:t>
      </w:r>
      <w:r w:rsidR="00881F68">
        <w:t xml:space="preserve"> dependent on temperature</w:t>
      </w:r>
      <w:r w:rsidR="00661E4F">
        <w:t xml:space="preserve"> and </w:t>
      </w:r>
      <w:r w:rsidR="00881F68">
        <w:t>activity rates</w:t>
      </w:r>
      <w:r w:rsidR="00661E4F">
        <w:fldChar w:fldCharType="begin"/>
      </w:r>
      <w:r w:rsidR="00661E4F">
        <w:instrText xml:space="preserve"> ADDIN ZOTERO_ITEM CSL_CITATION {"citationID":"WZALFCZE","properties":{"formattedCitation":"\\super 3\\nosupersub{}","plainCitation":"3","noteIndex":0},"citationItems":[{"id":2627,"uris":["http://zotero.org/users/9953085/items/4DBKK682"],"itemData":{"id":2627,"type":"article-journal","container-title":"Ecology","DOI":"https://doi.org/10.1890/03-9000","issue":"7","page":"1771-1789","title":"Toward a metabolic theory of ecology","volume":"85","author":[{"family":"Brown","given":"James H."},{"family":"Gillooly","given":"James F."},{"family":"Alen","given":"Andrew P."},{"family":"Savage","given":"Van M."},{"family":"West","given":"Geoffrey B."}],"issued":{"date-parts":[["2004"]]}}}],"schema":"https://github.com/citation-style-language/schema/raw/master/csl-citation.json"} </w:instrText>
      </w:r>
      <w:r w:rsidR="00661E4F">
        <w:fldChar w:fldCharType="separate"/>
      </w:r>
      <w:r w:rsidR="00661E4F" w:rsidRPr="00661E4F">
        <w:rPr>
          <w:rFonts w:cs="Times New Roman"/>
          <w:kern w:val="0"/>
          <w:vertAlign w:val="superscript"/>
        </w:rPr>
        <w:t>3</w:t>
      </w:r>
      <w:r w:rsidR="00661E4F">
        <w:fldChar w:fldCharType="end"/>
      </w:r>
      <w:r w:rsidR="00881F68">
        <w:t>, which suggest that animal behavior is necessary to accurately calculate metabolic costs.</w:t>
      </w:r>
      <w:r w:rsidR="00661E4F">
        <w:t xml:space="preserve"> The decision for an animal to move towards a prey or away from a predator has energetic consequences, which if not surmounted for by successful feeding </w:t>
      </w:r>
      <w:r w:rsidR="00D8430D">
        <w:t xml:space="preserve">may </w:t>
      </w:r>
      <w:r w:rsidR="00661E4F">
        <w:t>reduce a predator’s body condition</w:t>
      </w:r>
      <w:r w:rsidR="00D8430D">
        <w:t>, motivate the individual to make riskier decisions (i.e., attempt to catch prey instead of avoid predators),</w:t>
      </w:r>
      <w:r w:rsidR="00661E4F">
        <w:t xml:space="preserve"> and potentially lead to starvation</w:t>
      </w:r>
      <w:r w:rsidR="00D8430D">
        <w:t xml:space="preserve"> or a higher risk of predation mortality</w:t>
      </w:r>
      <w:r w:rsidR="009C10F1">
        <w:t>.</w:t>
      </w:r>
      <w:r w:rsidR="00D8430D">
        <w:t xml:space="preserve"> Extending </w:t>
      </w:r>
      <w:r w:rsidR="009C10F1">
        <w:t>off of this framework is research questions surrounding the influence of prey quality, climate change, disturbances, etc. on individuals, which are effects that can be aggregated to the population, community, and ecosystem scale</w:t>
      </w:r>
      <w:r w:rsidR="00661E4F">
        <w:t xml:space="preserve"> </w:t>
      </w:r>
      <w:r w:rsidR="00D8430D">
        <w:t>to compare to</w:t>
      </w:r>
      <w:r w:rsidR="00661E4F">
        <w:t xml:space="preserve"> traditional ecosystem modeling metrics.</w:t>
      </w:r>
    </w:p>
    <w:p w14:paraId="71C1CD5E" w14:textId="095B4F24" w:rsidR="0032053C" w:rsidRDefault="0032053C" w:rsidP="0032053C">
      <w:pPr>
        <w:rPr>
          <w:b/>
          <w:bCs/>
        </w:rPr>
      </w:pPr>
      <w:r>
        <w:rPr>
          <w:b/>
          <w:bCs/>
        </w:rPr>
        <w:t>Summary</w:t>
      </w:r>
    </w:p>
    <w:p w14:paraId="3DA09E19" w14:textId="1E7829C5" w:rsidR="00D8430D" w:rsidRDefault="004F013F" w:rsidP="004F013F">
      <w:r>
        <w:rPr>
          <w:i/>
          <w:iCs/>
        </w:rPr>
        <w:t xml:space="preserve">SwimmingIndividuals.jl </w:t>
      </w:r>
      <w:r>
        <w:t xml:space="preserve">is </w:t>
      </w:r>
      <w:r w:rsidRPr="007D46A4">
        <w:t>three-dimensional</w:t>
      </w:r>
      <w:r>
        <w:t>, individual-based</w:t>
      </w:r>
      <w:r w:rsidRPr="007D46A4">
        <w:t xml:space="preserve"> food web model</w:t>
      </w:r>
      <w:r>
        <w:t xml:space="preserve"> that </w:t>
      </w:r>
      <w:r w:rsidR="007C1029">
        <w:t xml:space="preserve">operates at a flexible spatiotemporal scale, defined by the user. The core purpose of </w:t>
      </w:r>
      <w:r w:rsidR="007C1029">
        <w:rPr>
          <w:i/>
          <w:iCs/>
        </w:rPr>
        <w:t xml:space="preserve">SwimmingIndividuals.jl </w:t>
      </w:r>
      <w:r w:rsidR="007C1029">
        <w:t>is to</w:t>
      </w:r>
      <w:r w:rsidR="00D8430D">
        <w:t xml:space="preserve"> predict individual animal behavior decisions in coordination with species-specific traits to</w:t>
      </w:r>
      <w:r w:rsidR="007C1029">
        <w:t xml:space="preserve"> calculate the</w:t>
      </w:r>
      <w:r>
        <w:t xml:space="preserve"> bioenergetic rates</w:t>
      </w:r>
      <w:r w:rsidR="007C1029">
        <w:t xml:space="preserve"> and energy budget for each individual</w:t>
      </w:r>
      <w:r>
        <w:t xml:space="preserve">. </w:t>
      </w:r>
      <w:r w:rsidR="00D8430D">
        <w:t xml:space="preserve">There are two types of species in a </w:t>
      </w:r>
      <w:r w:rsidR="00D8430D">
        <w:rPr>
          <w:i/>
          <w:iCs/>
        </w:rPr>
        <w:t xml:space="preserve">SwimmingIndividuals.jl </w:t>
      </w:r>
      <w:r w:rsidR="00D8430D">
        <w:t xml:space="preserve">model: focal species and non-focal species. Focal species are </w:t>
      </w:r>
      <w:r w:rsidR="00D8430D">
        <w:lastRenderedPageBreak/>
        <w:t xml:space="preserve">explicitly modeled as individuals and are intended to be of predominant species type used by the user. Each individual has a unique identity (i.e., body size, location) and has biological characteristics that match the user (Table 1). Non-focal species are similar to functional groups in the traditional ecosystem modeling frameworks. Since </w:t>
      </w:r>
      <w:r w:rsidR="00D8430D">
        <w:rPr>
          <w:i/>
          <w:iCs/>
        </w:rPr>
        <w:t>SwimmingIndividuals.jl</w:t>
      </w:r>
      <w:r w:rsidR="00D8430D">
        <w:t xml:space="preserve"> does not simulate biogeochemical processes, non-focal species are necessary so the entire ecosystem does not starve, but also serves as an option for the user to not model all species as an individual because of lack of reliable data or computing power.</w:t>
      </w:r>
    </w:p>
    <w:p w14:paraId="3B7BD794" w14:textId="7714176B" w:rsidR="004F013F" w:rsidRPr="00FE18E6" w:rsidRDefault="004F013F" w:rsidP="004F013F">
      <w:r>
        <w:t xml:space="preserve">The software </w:t>
      </w:r>
      <w:r>
        <w:t>has been</w:t>
      </w:r>
      <w:r w:rsidRPr="007D46A4">
        <w:t xml:space="preserve"> developed in </w:t>
      </w:r>
      <w:r>
        <w:t>the Julia Programming Language</w:t>
      </w:r>
      <w:r w:rsidR="007C1029">
        <w:t xml:space="preserve">, and utilizes JIT compiling performance for rapid computing speeds and the capability for enhanced performance on high-performance computing. </w:t>
      </w:r>
      <w:r w:rsidR="007C1029">
        <w:rPr>
          <w:i/>
          <w:iCs/>
        </w:rPr>
        <w:t xml:space="preserve">SwimmingIndividuals.jl </w:t>
      </w:r>
      <w:r w:rsidR="007C1029">
        <w:t xml:space="preserve">uses several packages from </w:t>
      </w:r>
      <w:r w:rsidR="007C1029">
        <w:rPr>
          <w:i/>
          <w:iCs/>
        </w:rPr>
        <w:t>PlanktonIndividuals.jl</w:t>
      </w:r>
      <w:r w:rsidR="007C1029">
        <w:rPr>
          <w:i/>
          <w:iCs/>
        </w:rPr>
        <w:fldChar w:fldCharType="begin"/>
      </w:r>
      <w:r w:rsidR="00661E4F">
        <w:rPr>
          <w:i/>
          <w:iCs/>
        </w:rPr>
        <w:instrText xml:space="preserve"> ADDIN ZOTERO_ITEM CSL_CITATION {"citationID":"3vzjHvca","properties":{"formattedCitation":"\\super 4\\nosupersub{}","plainCitation":"4","noteIndex":0},"citationItems":[{"id":8647,"uris":["http://zotero.org/users/9953085/items/CQI7RKNZ"],"itemData":{"id":8647,"type":"article-journal","container-title":"Journal of Open Source Software","ISSN":"2475-9066","issue":"73","journalAbbreviation":"Journal of Open Source Software","page":"4207","title":"PlanktonIndividuals. jl: a GPU supported individual-based phytoplankton life cycle model","volume":"7","author":[{"family":"Wu","given":"Zhen"},{"family":"Forget","given":"Gael"}],"issued":{"date-parts":[["2022"]]}}}],"schema":"https://github.com/citation-style-language/schema/raw/master/csl-citation.json"} </w:instrText>
      </w:r>
      <w:r w:rsidR="007C1029">
        <w:rPr>
          <w:i/>
          <w:iCs/>
        </w:rPr>
        <w:fldChar w:fldCharType="separate"/>
      </w:r>
      <w:r w:rsidR="00661E4F" w:rsidRPr="00661E4F">
        <w:rPr>
          <w:rFonts w:cs="Times New Roman"/>
          <w:kern w:val="0"/>
          <w:vertAlign w:val="superscript"/>
        </w:rPr>
        <w:t>4</w:t>
      </w:r>
      <w:r w:rsidR="007C1029">
        <w:rPr>
          <w:i/>
          <w:iCs/>
        </w:rPr>
        <w:fldChar w:fldCharType="end"/>
      </w:r>
      <w:r w:rsidR="007C1029">
        <w:t xml:space="preserve">, an individual-based plankton ecosystem model that has both CPU and GPU capabilities. </w:t>
      </w:r>
      <w:r w:rsidR="007C1029">
        <w:rPr>
          <w:i/>
          <w:iCs/>
        </w:rPr>
        <w:t xml:space="preserve">SwimmingIndividuals.jl </w:t>
      </w:r>
      <w:r w:rsidR="007C1029">
        <w:t>is not yet compatible with GPU processing because of the need for indexing in several functions to identify individuals. Users input data through .csv files, and it is recommended that they follow the same structure as the examples.</w:t>
      </w:r>
      <w:r w:rsidR="00FE18E6">
        <w:t xml:space="preserve"> </w:t>
      </w:r>
      <w:r w:rsidR="00FE18E6">
        <w:rPr>
          <w:i/>
          <w:iCs/>
        </w:rPr>
        <w:t xml:space="preserve">SwimmingIndividuals.jl </w:t>
      </w:r>
      <w:r w:rsidR="00FE18E6">
        <w:t>uses threading where possible to speed up the processing, particularly on high performance computing clusters.</w:t>
      </w:r>
    </w:p>
    <w:p w14:paraId="775E7ED4" w14:textId="13123B7B" w:rsidR="00FE18E6" w:rsidRDefault="00FE18E6" w:rsidP="004F013F">
      <w:r>
        <w:t>Once the model has been initialized, it will progress at a one-minute temporal resolution for the number of iterations the user requests. Non-focal species predation, growth, and mortality occurs each minute, with rations aligning to the user provided rate (% bodyweight consumed daily) standardized to one minute. Non-focal species thus feed at every time step, so species with a diel feeding pattern of interest to the research question should be modeled as focal species.</w:t>
      </w:r>
      <w:r w:rsidR="003B560D">
        <w:t xml:space="preserve"> This feeding acts to remove focal and non-focal species individuals based on their relative densities. For example, if the density of focal individuals (# m</w:t>
      </w:r>
      <w:r w:rsidR="003B560D">
        <w:rPr>
          <w:vertAlign w:val="superscript"/>
        </w:rPr>
        <w:t>-3</w:t>
      </w:r>
      <w:r w:rsidR="003B560D">
        <w:t xml:space="preserve">) is greater than the density of non-focal individuals, the predator species will consume a focal individual, and </w:t>
      </w:r>
      <w:r w:rsidR="003B560D">
        <w:rPr>
          <w:i/>
          <w:iCs/>
        </w:rPr>
        <w:t>vise versa</w:t>
      </w:r>
      <w:r w:rsidR="003B560D">
        <w:t xml:space="preserve">. All potential preys considered in these densities are within a predator-prey size ratio of 1%–10% of the </w:t>
      </w:r>
      <w:r w:rsidR="00E3395D">
        <w:t xml:space="preserve">minimum and maximum </w:t>
      </w:r>
      <w:r w:rsidR="003B560D">
        <w:t>predator body size</w:t>
      </w:r>
      <w:r w:rsidR="00E3395D">
        <w:t>, respectively, creating a wide range of potential preys</w:t>
      </w:r>
      <w:r w:rsidR="003B560D">
        <w:t xml:space="preserve">. Consumed focal individuals are removed from the model and the necessary outputs (predation mortality, diet matrix) are updated. </w:t>
      </w:r>
      <w:r w:rsidR="00E3395D">
        <w:t xml:space="preserve">Since predation by non-focal species is size-driven, species with considerable range in their minimum and maximum size may be separated in size classes to refine feeding by non-focal species. This approach should be used with some caution, as there is no mechanism for small conspecifics to ascend to larger size classes (e.g., recruitment) in a multi-year simulation. </w:t>
      </w:r>
      <w:r>
        <w:t>Non-focal species begin at a density provided by the user (# m</w:t>
      </w:r>
      <w:r>
        <w:rPr>
          <w:vertAlign w:val="superscript"/>
        </w:rPr>
        <w:t>-2</w:t>
      </w:r>
      <w:r>
        <w:t xml:space="preserve">) and this density is allocated to a grid that aligns the preferred output grid of the user, such that the model recognizes the number of individuals per grid cell. When predated upon, the number of individuals within each grid cell decreases, and the number of individuals grows based on a user-defined population growth rate at each time step. </w:t>
      </w:r>
      <w:r>
        <w:t>This population decline and growth</w:t>
      </w:r>
      <w:r>
        <w:t xml:space="preserve"> allows for important prey groups to be </w:t>
      </w:r>
      <w:r w:rsidR="003B560D">
        <w:t xml:space="preserve">dynamic. </w:t>
      </w:r>
      <w:r>
        <w:t xml:space="preserve">There is currently no mixing between grid cells for non-focal species, so </w:t>
      </w:r>
      <w:r>
        <w:rPr>
          <w:i/>
          <w:iCs/>
        </w:rPr>
        <w:t xml:space="preserve">SwimmingIndividuals.jl </w:t>
      </w:r>
      <w:r>
        <w:t xml:space="preserve">treats each grid cell akin to a separate species for population modeling purposes. </w:t>
      </w:r>
      <w:r w:rsidR="003B560D">
        <w:t>Future iterations could transfer individuals between grid cells in an Eulerian pattern</w:t>
      </w:r>
      <w:r w:rsidR="00E3395D">
        <w:t>.</w:t>
      </w:r>
    </w:p>
    <w:p w14:paraId="6019D61D" w14:textId="77777777" w:rsidR="003D5C5B" w:rsidRDefault="00E3395D" w:rsidP="004F013F">
      <w:r>
        <w:lastRenderedPageBreak/>
        <w:t xml:space="preserve">Focal species individuals operate at a temporal resolution decided by the user. This methodology allows the user to model different species at different temporal scales (minimum = 1 min.) to best capture the operational resolution of the species necessary to answer the research question and save on the computational expense of unnecessary calculations. Each rate calculated by </w:t>
      </w:r>
      <w:r>
        <w:rPr>
          <w:i/>
          <w:iCs/>
        </w:rPr>
        <w:t xml:space="preserve">SwimmingIndividuals.jl </w:t>
      </w:r>
      <w:r>
        <w:t xml:space="preserve">is standardized to this modular temporal resolution. During each timestep, each individual makes behavioral decisions based on its own energy budget and functional type. There are currently five functional types within </w:t>
      </w:r>
      <w:r>
        <w:rPr>
          <w:i/>
          <w:iCs/>
        </w:rPr>
        <w:t>SwimmingIndividuals.jl</w:t>
      </w:r>
      <w:r>
        <w:t xml:space="preserve">: strong diel vertical migrators, weak diel vertical migrators, non-migrators, surface divers, and pelagic divers. Strong diel vertical migrants are species where all individuals in a population make daily vertical movements at dusk and dawn, and can resemble both standard diel vertical migration and reverse diel vertical migration. The depths at which an animal ascends or descends to is chosen from </w:t>
      </w:r>
      <w:r w:rsidR="003D5C5B">
        <w:t>pseudo-randomly</w:t>
      </w:r>
      <w:r>
        <w:t xml:space="preserve"> from a multi-modal distribution provided by the user for both day and night. Weak diel vertical migrants </w:t>
      </w:r>
      <w:r w:rsidR="003D5C5B">
        <w:t xml:space="preserve">are species where on a proportion of individuals vertically migrate daily. The mechanism behind this individual movement is the same as strong migrants, but the decision to migrate or not is based on that individual’s gut fullness in a logistic function, where a near empty stomach will motivate the individual to migrant and a near full stomach will result in a greater likelihood of the individual remaining at their previous depth. Non-migrators do not make large vertical movements. Surface divers and pelagic divers make short dives into deeper waters to a random depth chosen (uniform distribution) between a minimum and maximum dive depth. The individual stays in the dive for a user-defined dive interval, ascends out of the dive, either to the surface (surface diver) or normal depth (pelagic diver) for a user-defined surface interval. </w:t>
      </w:r>
    </w:p>
    <w:p w14:paraId="575ADAE0" w14:textId="0DA22C81" w:rsidR="00C97637" w:rsidRPr="00966E43" w:rsidRDefault="00C97637" w:rsidP="004F013F">
      <w:r>
        <w:rPr>
          <w:i/>
          <w:iCs/>
        </w:rPr>
        <w:t xml:space="preserve">SwimmingIndividuals.jl </w:t>
      </w:r>
      <w:r>
        <w:t>relies on the calculation of an individual’s visual range, which could also be considered the individual’s perception range for non-visual sensory dynamics. The procedure closely follows work Aknses et al.</w:t>
      </w:r>
      <w:r>
        <w:fldChar w:fldCharType="begin"/>
      </w:r>
      <w:r>
        <w:instrText xml:space="preserve"> ADDIN ZOTERO_ITEM CSL_CITATION {"citationID":"GeH0YVtJ","properties":{"formattedCitation":"\\super 5\\nosupersub{}","plainCitation":"5","noteIndex":0},"citationItems":[{"id":652,"uris":["http://zotero.org/users/9953085/items/XSYX5Q9M"],"itemData":{"id":652,"type":"article-journal","container-title":"Mar Ecol Prog Ser","note":"publisher: Published","page":"315-316","title":"Natural mortality, fecundity and development time in marine planktonic copepods-implications of behaviour","volume":"131","author":[{"family":"Aksnes","given":"Dag L"}],"issued":{"date-parts":[["1996"]]}}}],"schema":"https://github.com/citation-style-language/schema/raw/master/csl-citation.json"} </w:instrText>
      </w:r>
      <w:r>
        <w:fldChar w:fldCharType="separate"/>
      </w:r>
      <w:r w:rsidRPr="00C97637">
        <w:rPr>
          <w:rFonts w:cs="Times New Roman"/>
          <w:kern w:val="0"/>
          <w:vertAlign w:val="superscript"/>
        </w:rPr>
        <w:t>5</w:t>
      </w:r>
      <w:r>
        <w:fldChar w:fldCharType="end"/>
      </w:r>
      <w:r>
        <w:t>, which has been applied in other pelagic mechanistic modeling efforts</w:t>
      </w:r>
      <w:r>
        <w:fldChar w:fldCharType="begin"/>
      </w:r>
      <w:r>
        <w:instrText xml:space="preserve"> ADDIN ZOTERO_ITEM CSL_CITATION {"citationID":"AQznWlTA","properties":{"formattedCitation":"\\super 6\\uc0\\u8211{}8\\nosupersub{}","plainCitation":"6–8","noteIndex":0},"citationItems":[{"id":2277,"uris":["http://zotero.org/users/9953085/items/AYEBYMN6"],"itemData":{"id":2277,"type":"article-journal","container-title":"Marine Ecology Progress Series","DOI":"10.3354/meps13024","issue":"July","page":"161–174","title":"Light comfort zone in a mesopelagic fish emerges from adaptive behaviour along a latitudinal gradient","volume":"623","author":[{"family":"Langbehn","given":"Tom J"},{"family":"Aksnes","given":"Dag L"},{"family":"Kaartvedt","given":"Stein"},{"family":"Fiksen","given":"Øyvind"}],"issued":{"date-parts":[["2019"]]}}},{"id":8630,"uris":["http://zotero.org/users/9953085/items/Q4UQKK2K"],"itemData":{"id":8630,"type":"article-journal","container-title":"Global Ecology and Biogeography","ISSN":"1466-822X","journalAbbreviation":"Global Ecology and Biogeography","note":"publisher: Wiley Online Library","title":"Bergmann patterns in planktivorous fishes: A light‐size or zooplankton community‐size rule is just as valid explanation as the temperature‐size rule","author":[{"family":"Ljungström","given":"Gabriella"},{"family":"Langbehn","given":"Tom"},{"family":"Jørgensen","given":"Christian"}],"issued":{"date-parts":[["2023"]]}}},{"id":8631,"uris":["http://zotero.org/users/9953085/items/FT3YVV5B"],"itemData":{"id":8631,"type":"article-journal","container-title":"Nature Climate Change","ISSN":"1758-678X","issue":"6","journalAbbreviation":"Nature Climate Change","note":"publisher: Nature Publishing Group UK London","page":"530-536","title":"Light and energetics at seasonal extremes limit poleward range shifts","volume":"11","author":[{"family":"Ljungström","given":"Gabriella"},{"family":"Langbehn","given":"Tom J"},{"family":"Jørgensen","given":"Christian"}],"issued":{"date-parts":[["2021"]]}}}],"schema":"https://github.com/citation-style-language/schema/raw/master/csl-citation.json"} </w:instrText>
      </w:r>
      <w:r>
        <w:fldChar w:fldCharType="separate"/>
      </w:r>
      <w:r w:rsidRPr="00C97637">
        <w:rPr>
          <w:rFonts w:cs="Times New Roman"/>
          <w:kern w:val="0"/>
          <w:vertAlign w:val="superscript"/>
        </w:rPr>
        <w:t>6–8</w:t>
      </w:r>
      <w:r>
        <w:fldChar w:fldCharType="end"/>
      </w:r>
      <w:r>
        <w:t xml:space="preserve">. The visual range hypothesis centers around the idea that animals have a limited world view, and the distance an animal can visualize (and make decisions based </w:t>
      </w:r>
      <w:r w:rsidR="00966E43">
        <w:t>from</w:t>
      </w:r>
      <w:r>
        <w:t>) is a function of body size, visual acuity, the target’s (predator or prey) body size, and light irradiance. Light irradiance may change based on time of day, latitude,</w:t>
      </w:r>
      <w:r w:rsidR="00966E43">
        <w:t xml:space="preserve"> salinity,</w:t>
      </w:r>
      <w:r>
        <w:t xml:space="preserve"> and season. Of particular importance is the decrease in light irradiance at depth</w:t>
      </w:r>
      <w:r w:rsidR="00966E43">
        <w:t>, which is calculated in this model</w:t>
      </w:r>
      <w:r>
        <w:t xml:space="preserve">. </w:t>
      </w:r>
      <w:r>
        <w:rPr>
          <w:i/>
          <w:iCs/>
        </w:rPr>
        <w:t>SwimmingIndividuals.jl</w:t>
      </w:r>
      <w:r>
        <w:t xml:space="preserve"> uses the body sizes of each focal individual and </w:t>
      </w:r>
      <w:r w:rsidR="00966E43">
        <w:t xml:space="preserve">the visual range concept to restrict the predators and preys that an individual can perceive. Users should consider their study location when parameterizing </w:t>
      </w:r>
      <w:r w:rsidR="00966E43">
        <w:rPr>
          <w:i/>
          <w:iCs/>
        </w:rPr>
        <w:t>SwimmingIndividuals.jl</w:t>
      </w:r>
      <w:r w:rsidR="00966E43">
        <w:t xml:space="preserve"> because the chosen environmental parameters directly influence predator-prey dynamics and energy budgets.</w:t>
      </w:r>
    </w:p>
    <w:p w14:paraId="08A3DFB1" w14:textId="6892BDA5" w:rsidR="00E3395D" w:rsidRDefault="003D5C5B" w:rsidP="004F013F">
      <w:r>
        <w:t xml:space="preserve">When the individuals are not actively migrating or diving, they make a decision to either eat or avoid predators. </w:t>
      </w:r>
      <w:r w:rsidR="00ED4CE3">
        <w:t xml:space="preserve">This decision is determined by a logistic function where an individual has a greater likelihood of eating when it is hungry and avoiding predators when it is full. Additionally, it is assumed that animals do not make feeding decisions while migrating or diving. In this way, animals make “riskier” decisions when approaching starvation. If the animal does not need to eat and there are no predators within their perceivable range, they randomly move on the longitude and latitude access according to ½ of the user defined swim speed (assumed to be cruising </w:t>
      </w:r>
      <w:r w:rsidR="00ED4CE3">
        <w:lastRenderedPageBreak/>
        <w:t xml:space="preserve">velocity). </w:t>
      </w:r>
      <w:r w:rsidR="00DB3F27">
        <w:t>Vertical movement is not applied to the random movement because of the importance of vertical partitioning in pelagic ecosystems.</w:t>
      </w:r>
      <w:r w:rsidR="00DB3F27">
        <w:fldChar w:fldCharType="begin"/>
      </w:r>
      <w:r w:rsidR="00C97637">
        <w:instrText xml:space="preserve"> ADDIN ZOTERO_ITEM CSL_CITATION {"citationID":"uuLy2zSM","properties":{"formattedCitation":"\\super 9,10\\nosupersub{}","plainCitation":"9,10","noteIndex":0},"citationItems":[{"id":2612,"uris":["http://zotero.org/users/9953085/items/QNC63Z4K"],"itemData":{"id":2612,"type":"article-journal","abstract":"Abstract: This paper reviews knowledge of biodiversity in open ocean pelagic communities and discusses the possible causal factors for the patterns. The oceanic pelagic ecosystem is by far the largest on Earth and, although locally its assemblages may be as rich as many terrestrial ecosystems, its global diversity (at both a species and an ecosystem level) is low. There are latitudinal trends in pelagic species diversity similar to those in many terrestrial taxa. High species richness in the oceans, however, tends to be associated with regions of low productivity that lack strong seasonality in the production cycle. The richest zones occur at the boundaries between different types of oceanic water where different faunas are mixed together, but the geographical locations of these boundaries are unstable and shift seasonally by hundreds of kilometers. If high diversity is emphasized in the development of protocols for conservation, then not only will the oceans receive low priority in conservation and resource management, but the regions most important in terms of process will also be overlooked. The scales of oceanic systems are so large that the methodologies developed for terrestrial conservation and resource management are inapplicable. Biodiversity may be regarded as the principal criterion for developing management strategies, yet the links (if any) between the ecological processes in the ocean that play such an important role in global homeostasis remain poorly characterized. The basis for a predictive understanding of the interaction between diversity and ecological process can be greatly enhanced relatively inexpensively by systematically collating existing data and working up extant collections of material Copyright © 1993, Wiley Blackwell. All rights reserved","container-title":"Conservation Biology","DOI":"10.1046/j.1523-1739.1993.740760.x","ISSN":"15231739","issue":"4","page":"760–772","title":"Biodiversity of the pelagic ocean","volume":"7","author":[{"family":"Angel","given":"Martin V."}],"issued":{"date-parts":[["1993"]]}}},{"id":2061,"uris":["http://zotero.org/users/9953085/items/UCJKRDRH"],"itemData":{"id":2061,"type":"article-journal","abstract":"This study, based on data collected during sum- mer 1985 in the eastern Gulf of Mexico, examined the degree of overlap in two prime niche parameters, space and food, in 17 of the most abundant myctophid species which inhabit the epipelagic zone at night. Cluster-analy- ses of vertical distribution information and diet charac- teristics revealed that while large groups of species over- lapped (&gt;60%) in either vertical distributions or diet, when both niche parameters were considered together, little interspecific or intraspecific (size class) overlap oc- curred. Our data suggest that for myctophids, trophic competition is reduced through resource-partitioning, al- though with considerable overlap at niche boundaries. Niche separation presumably is the result of competition during the evolution of the ecosystem and is maintained presently as \"diffuse competition\": the effect on a species of the combined competition from all other species at that trophic level. We suggest that the large degree of niche overlap enables the \"packing\" of over 50 myc- tophid species in the epipelagic zone at night. Our calcu- lations indicate that myctophid predation nightly re- moves 2% of the zooplankton biomass. Myctophid predation is selective in that greatest pressure is on cer- tain size classes and types of prey (copepods, ostracods and euphausiids). In the case of copepods, impact is greatest on the larger, more mature stages and hence on the breeding population. It is estimated that myctophids account for at least one-third of the daily production of zooplankton removed from the epipelagic zone by mi- cronekton in the eastern Gulf.","container-title":"Marine Biology","DOI":"10.1007/BF00349518","ISSN":"00253162","issue":"2","note":"PMID: 316","page":"185-197","title":"Resource-partitioning and predation impact of a low-latitude myctophid community","volume":"114","author":[{"family":"Hopkins","given":"TL L"},{"family":"Gartner","given":"J V"}],"issued":{"date-parts":[["1992"]]}}}],"schema":"https://github.com/citation-style-language/schema/raw/master/csl-citation.json"} </w:instrText>
      </w:r>
      <w:r w:rsidR="00DB3F27">
        <w:fldChar w:fldCharType="separate"/>
      </w:r>
      <w:r w:rsidR="00C97637" w:rsidRPr="00C97637">
        <w:rPr>
          <w:rFonts w:cs="Times New Roman"/>
          <w:kern w:val="0"/>
          <w:vertAlign w:val="superscript"/>
        </w:rPr>
        <w:t>9,10</w:t>
      </w:r>
      <w:r w:rsidR="00DB3F27">
        <w:fldChar w:fldCharType="end"/>
      </w:r>
    </w:p>
    <w:p w14:paraId="54921CD2" w14:textId="65F9890A" w:rsidR="00ED4CE3" w:rsidRDefault="00ED4CE3" w:rsidP="004F013F">
      <w:r>
        <w:t xml:space="preserve">Focal species predation is divided into sub-timesteps to ensure that individuals can consume multiple prey items per user-defined timestep, and still allow for the calculation of individual mortality for focal predation – focal prey predation events. Similar to the non-focal species, the density of focal and non-focal species is calculated, and the proportion is used to divide the feeding sub-timesteps so that individuals may consume both types of species. </w:t>
      </w:r>
      <w:r w:rsidR="00ED2873">
        <w:t xml:space="preserve">For predation of focal individuals, the distance between each potential prey </w:t>
      </w:r>
      <w:r w:rsidR="00ED2873">
        <w:t>(</w:t>
      </w:r>
      <w:r w:rsidR="00ED2873">
        <w:t>limited to 1%–10% of body size and within perceivable range</w:t>
      </w:r>
      <w:r w:rsidR="00ED2873">
        <w:t>)</w:t>
      </w:r>
      <w:r w:rsidR="00ED2873">
        <w:t xml:space="preserve"> is calculated and the predator will predate the nearest prey. The predator then moves to the location of the prey, its’ stomach becomes fuller, the energy consumed is calculated, and the prey is removed from the simulation. Since non-focal species are organized as densities, rather than individuals, the individuals in each grid cell are assumed to be homogenously distributed (i.e., evenly spaced). The number of individuals consumed is determined from a Holling Type II functional response curve using the surrounding prey density, the perceivable range adjusted to the proportion of time remaining for non-focal predation, and a handling time (2 seconds default). </w:t>
      </w:r>
      <w:r w:rsidR="00A635CB">
        <w:t>The distance between each potential prey (assumed same for all preys) is used to calculate the time it will take an individual to travel to and consume the prey. Since all individuals are assumed to be the same distance from the predator, the predator chooses the available prey with the greatest energy density, so it maximizes its’ energy input. After predation, the amount of biomass and energy consumed is recorded and the non-focal species density within the appropriate grid cell decreases.</w:t>
      </w:r>
      <w:r w:rsidR="00ED2873">
        <w:t xml:space="preserve"> This loop continues until time runs out, the predator has a full stomach, or there are no more preys. </w:t>
      </w:r>
    </w:p>
    <w:p w14:paraId="33F10418" w14:textId="04BF3A9C" w:rsidR="00DB3F27" w:rsidRDefault="00DB3F27" w:rsidP="004F013F">
      <w:r>
        <w:t xml:space="preserve">The energy budget of each individual is adjusted according to the consumed energy, respiration rate, excretion rate, egestion rate, and specific dynamic action (energetic costs associated with digestion). The respiration rate is calculated as a function of temperature (location and depth-specific), body mass, and activity rate. A 1D depth-specific temperature has been implemented within </w:t>
      </w:r>
      <w:r>
        <w:rPr>
          <w:i/>
          <w:iCs/>
        </w:rPr>
        <w:t>SwimmingIndividuals.jl</w:t>
      </w:r>
      <w:r>
        <w:t xml:space="preserve"> as a decay function from the surface (26C) to 3000m (4C), characteristic of the Northwest Atlantic Ocean. This temperature is currently considered the same for all latitude-longitude grid cells. The user should provide this information for their respective system by either changing the defaults in the “generate_temperature()” function, or their own array expressing spatially explicit temperatures. The individual is considered active when the individual is diving, migrating, or feeding, and the energetic cost of respiration is adjusted according to a weighted average of active metabolic rates and standard metabolic rates</w:t>
      </w:r>
      <w:r>
        <w:fldChar w:fldCharType="begin"/>
      </w:r>
      <w:r w:rsidR="00C97637">
        <w:instrText xml:space="preserve"> ADDIN ZOTERO_ITEM CSL_CITATION {"citationID":"dOBbgz0m","properties":{"formattedCitation":"\\super 11\\nosupersub{}","plainCitation":"11","noteIndex":0},"citationItems":[{"id":2264,"uris":["http://zotero.org/users/9953085/items/UQBE5FLP"],"itemData":{"id":2264,"type":"article-journal","container-title":"Fisheries Research Board of Canada","page":"1–253","title":"Rate of metabolism and food requirements of fish","volume":"194","author":[{"family":"Winberg","given":"G.G."}],"issued":{"date-parts":[["1956"]]}}}],"schema":"https://github.com/citation-style-language/schema/raw/master/csl-citation.json"} </w:instrText>
      </w:r>
      <w:r>
        <w:fldChar w:fldCharType="separate"/>
      </w:r>
      <w:r w:rsidR="00C97637" w:rsidRPr="00C97637">
        <w:rPr>
          <w:rFonts w:cs="Times New Roman"/>
          <w:kern w:val="0"/>
          <w:vertAlign w:val="superscript"/>
        </w:rPr>
        <w:t>11</w:t>
      </w:r>
      <w:r>
        <w:fldChar w:fldCharType="end"/>
      </w:r>
      <w:r>
        <w:t>.</w:t>
      </w:r>
      <w:r w:rsidR="00FB2E53">
        <w:t xml:space="preserve"> Excretion and egestion rates are calculated as a function of consumed energy and a user-defined assimilation efficiency. The default assimilation efficiency is 80%</w:t>
      </w:r>
      <w:r w:rsidR="00FB2E53">
        <w:fldChar w:fldCharType="begin"/>
      </w:r>
      <w:r w:rsidR="00C97637">
        <w:instrText xml:space="preserve"> ADDIN ZOTERO_ITEM CSL_CITATION {"citationID":"2f00WDwi","properties":{"formattedCitation":"\\super 12\\nosupersub{}","plainCitation":"12","noteIndex":0},"citationItems":[{"id":2330,"uris":["http://zotero.org/users/9953085/items/EFKG36G4"],"itemData":{"id":2330,"type":"chapter","container-title":"Fish Physiology","page":"280–352","publisher":"Academic Press","title":"Physiological energetics: volume VIII, bioenergetics and growth","author":[{"family":"Brett","given":"JR"},{"family":"Groves","given":"TDD"}],"editor":[{"family":"Hoar","given":"W.S."},{"family":"Randall","given":"D.J."},{"family":"Brett","given":"J.R."}],"issued":{"date-parts":[["1979"]]}}}],"schema":"https://github.com/citation-style-language/schema/raw/master/csl-citation.json"} </w:instrText>
      </w:r>
      <w:r w:rsidR="00FB2E53">
        <w:fldChar w:fldCharType="separate"/>
      </w:r>
      <w:r w:rsidR="00C97637" w:rsidRPr="00C97637">
        <w:rPr>
          <w:rFonts w:cs="Times New Roman"/>
          <w:kern w:val="0"/>
          <w:vertAlign w:val="superscript"/>
        </w:rPr>
        <w:t>12</w:t>
      </w:r>
      <w:r w:rsidR="00FB2E53">
        <w:fldChar w:fldCharType="end"/>
      </w:r>
      <w:r w:rsidR="00FB2E53">
        <w:t>, which is also used as the default in other modeling systems, but can be easily adjusted by the user to match any discrepancies. This value means that 80% of the ingested energy is not egested. 80% of the remainder of this energy is then not excreted. Reducing the assimilation efficiency will result in a greater proportion of energy available in the individual’s energy reserves. The specific dynamic action</w:t>
      </w:r>
      <w:r w:rsidR="00F15452">
        <w:t xml:space="preserve"> (SDA)</w:t>
      </w:r>
      <w:r w:rsidR="00FB2E53">
        <w:t xml:space="preserve"> is calculated as 20% of the remaining energy. The change in an individual’s energy reserves is calculated as the difference of the ingested energy and the sum of all energy expenses (respiration, egestion, excretion, and SDA).</w:t>
      </w:r>
      <w:r w:rsidR="00F15452">
        <w:t xml:space="preserve"> Currently </w:t>
      </w:r>
      <w:r w:rsidR="00F15452">
        <w:rPr>
          <w:i/>
          <w:iCs/>
        </w:rPr>
        <w:t xml:space="preserve">SwimmingIndividuals.jl </w:t>
      </w:r>
      <w:r w:rsidR="00F15452">
        <w:t xml:space="preserve">does not convert </w:t>
      </w:r>
      <w:r w:rsidR="00F15452">
        <w:lastRenderedPageBreak/>
        <w:t>excess energy into somatic fish growth or development of reproductive structures, as its current applications do not call for long-term assessments of population dynamics of focal species.</w:t>
      </w:r>
      <w:r w:rsidR="00D33748">
        <w:t xml:space="preserve"> The stomach fullness of an individual is reduced each timestep according to a temperature-dependent gut evacuation rate</w:t>
      </w:r>
      <w:r w:rsidR="00D7094A">
        <w:t xml:space="preserve"> function</w:t>
      </w:r>
      <w:r w:rsidR="00B87266">
        <w:fldChar w:fldCharType="begin"/>
      </w:r>
      <w:r w:rsidR="00B87266">
        <w:instrText xml:space="preserve"> ADDIN ZOTERO_ITEM CSL_CITATION {"citationID":"HtUztOSz","properties":{"formattedCitation":"\\super 13,14\\nosupersub{}","plainCitation":"13,14","noteIndex":0},"citationItems":[{"id":1158,"uris":["http://zotero.org/users/9953085/items/S8QAA8C8"],"itemData":{"id":1158,"type":"article-journal","abstract":"The feeding ecology of myctophids was studied using data collected during 5 South African scientific cruises to the Southern Ocean from 1985 to 1995. A total of 362 specimens, comprising 36 species, were analyzed for gut contents. Myctophid biomass levels, estimated from Bongo net tows, are among the lowest yet recorded for the Southern Ocean. Peak biomass levels were associated with the main frontal zones and with a permanent polynya region in the Lazarev Sea. Results show that all myctophid species are opportunistic mesozooplankton feeders exhibiting a high degree of overlap in their food spectrum and consuming primarily the most abundant species of copepods, euphausiids, hyperiids and pteropods. Daily rations were estimated using 3 different approaches and ranged from 0.2 to 4.4% of dry body weights. Generally, the daily food intake was equivalent to 0.5 (lower mean) to 29 (upper mean) of dry body weight for Antarctic and subantarctic species, and between 12 and 3.8% for temperate and subtropical species. Antarctic krill, Euphausia superba, was usually poorly represented in the stomachs of all but 1 myctophid species. The results of this study therefore do not support the hypothesis that krill plays a major role in the feeding ecology and budget of myctophids.","container-title":"Marine Ecology Progress Series","DOI":"10.3354/meps134001","ISSN":"01718630","issue":"1-3","page":"1-14","title":"Prey composition and daily rations of myctophid fishes in the Southern Ocean","volume":"134","author":[{"family":"Pakhomov","given":"E. A."},{"family":"Perissinotto","given":"R."},{"family":"McQuaid","given":"C. D."}],"issued":{"date-parts":[["1996"]]}}},{"id":257,"uris":["http://zotero.org/users/9953085/items/K2JF44CM"],"itemData":{"id":257,"type":"article-journal","abstract":"Myctophids are among the most abundant fishes in the world[U+05F3]s ocean and occupy a key position in marine pelagic food webs. Through their significant diel vertical migrations and metabolism they also have the potential to be a significant contributor to carbon export. We investigated the feeding ecology and contribution to organic carbon export by three myctophid species, Benthosema glaciale, Protomyctophum arcticum, and Hygophum hygomii, from a structurally and ecologically unique ecosystem- the Mid-Atlantic Ridge (MAR). Similar to the results of previous studies, the diet of these fishes was primarily copepods and euphausiids, however, gelatinous zooplankton was identified in the diet of B. glaciale for the first time. Ridge section and time of day were significant explanatory variables in the diet of B. glaciale as determined by canonical correspondence analysis, while depth was the only significant explanatory variable in the diet of P. arcticum. Daily consumption by MAR myctophids was less than 1% of dry body weight per day and resulted in the removal of less than 1% of zooplankton biomass daily. Although lower than previous estimates of carbon transport by myctophids and zooplankton in other areas, MAR myctophid active transport by diel vertical migration was equivalent to up to 8% of sinking particulate organic carbon in the North Atlantic. While highly abundant, myctophids do not impart significant predation pressure on MAR zooplankton, and play a modest role in the active transport of carbon from surface waters.","container-title":"Deep-Sea Research Part I: Oceanographic Research Papers","DOI":"10.1016/j.dsr.2014.07.002","ISSN":"09670637","note":"publisher: Elsevier","page":"104-116","title":"Myctophid feeding ecology and carbon transport along the northern Mid-Atlantic Ridge","volume":"93","author":[{"family":"Hudson","given":"Jeanna M."},{"family":"Steinberg","given":"Deborah K."},{"family":"Sutton","given":"Tracey T."},{"family":"Graves","given":"John E."},{"family":"Latour","given":"Robert J."}],"issued":{"date-parts":[["2014"]]}}}],"schema":"https://github.com/citation-style-language/schema/raw/master/csl-citation.json"} </w:instrText>
      </w:r>
      <w:r w:rsidR="00B87266">
        <w:fldChar w:fldCharType="separate"/>
      </w:r>
      <w:r w:rsidR="00B87266" w:rsidRPr="00B87266">
        <w:rPr>
          <w:rFonts w:cs="Times New Roman"/>
          <w:kern w:val="0"/>
          <w:vertAlign w:val="superscript"/>
        </w:rPr>
        <w:t>13,14</w:t>
      </w:r>
      <w:r w:rsidR="00B87266">
        <w:fldChar w:fldCharType="end"/>
      </w:r>
      <w:r w:rsidR="00D33748">
        <w:t>, which frees up space in the stomach to promote feeding in later timesteps.</w:t>
      </w:r>
      <w:r w:rsidR="00F15452">
        <w:t xml:space="preserve"> If an individual’s energy reserves reach 0J, the animal starves, is removed from the simulation, and mortality is applied to the species.</w:t>
      </w:r>
    </w:p>
    <w:p w14:paraId="2F06B315" w14:textId="77777777" w:rsidR="00F15452" w:rsidRPr="00E3395D" w:rsidRDefault="00F15452" w:rsidP="004F013F"/>
    <w:p w14:paraId="5650F557" w14:textId="77777777" w:rsidR="0032053C" w:rsidRDefault="0032053C" w:rsidP="0032053C">
      <w:pPr>
        <w:rPr>
          <w:b/>
          <w:bCs/>
        </w:rPr>
      </w:pPr>
    </w:p>
    <w:p w14:paraId="76A3FFF1" w14:textId="791E08B9" w:rsidR="0032053C" w:rsidRDefault="0032053C" w:rsidP="0032053C">
      <w:pPr>
        <w:rPr>
          <w:b/>
          <w:bCs/>
        </w:rPr>
      </w:pPr>
      <w:r>
        <w:rPr>
          <w:b/>
          <w:bCs/>
        </w:rPr>
        <w:t>Examples</w:t>
      </w:r>
      <w:r w:rsidR="007338F6">
        <w:rPr>
          <w:b/>
          <w:bCs/>
        </w:rPr>
        <w:t xml:space="preserve"> (</w:t>
      </w:r>
      <w:r w:rsidR="0030750A">
        <w:rPr>
          <w:b/>
          <w:bCs/>
        </w:rPr>
        <w:t xml:space="preserve">I intend to </w:t>
      </w:r>
      <w:r w:rsidR="007338F6">
        <w:rPr>
          <w:b/>
          <w:bCs/>
        </w:rPr>
        <w:t>add)</w:t>
      </w:r>
    </w:p>
    <w:tbl>
      <w:tblPr>
        <w:tblStyle w:val="TableGrid"/>
        <w:tblW w:w="0" w:type="auto"/>
        <w:tblLook w:val="04A0" w:firstRow="1" w:lastRow="0" w:firstColumn="1" w:lastColumn="0" w:noHBand="0" w:noVBand="1"/>
      </w:tblPr>
      <w:tblGrid>
        <w:gridCol w:w="2070"/>
        <w:gridCol w:w="4165"/>
        <w:gridCol w:w="3115"/>
      </w:tblGrid>
      <w:tr w:rsidR="0032053C" w14:paraId="78BFBB43" w14:textId="77777777" w:rsidTr="00AB67AE">
        <w:tc>
          <w:tcPr>
            <w:tcW w:w="2070" w:type="dxa"/>
          </w:tcPr>
          <w:p w14:paraId="11B11E7B" w14:textId="08E4F87C" w:rsidR="0032053C" w:rsidRPr="0032053C" w:rsidRDefault="0032053C" w:rsidP="0032053C">
            <w:r>
              <w:t>Example</w:t>
            </w:r>
          </w:p>
        </w:tc>
        <w:tc>
          <w:tcPr>
            <w:tcW w:w="4165" w:type="dxa"/>
          </w:tcPr>
          <w:p w14:paraId="52EAFDBE" w14:textId="1066E299" w:rsidR="0032053C" w:rsidRPr="0032053C" w:rsidRDefault="004F013F" w:rsidP="0032053C">
            <w:r>
              <w:rPr>
                <w:i/>
                <w:iCs/>
              </w:rPr>
              <w:t>Parameters</w:t>
            </w:r>
          </w:p>
        </w:tc>
        <w:tc>
          <w:tcPr>
            <w:tcW w:w="3115" w:type="dxa"/>
          </w:tcPr>
          <w:p w14:paraId="1C15508C" w14:textId="706C6FF7" w:rsidR="0032053C" w:rsidRPr="0032053C" w:rsidRDefault="0032053C" w:rsidP="0032053C">
            <w:r>
              <w:t>Code Location</w:t>
            </w:r>
          </w:p>
        </w:tc>
      </w:tr>
      <w:tr w:rsidR="0032053C" w14:paraId="3EBA188B" w14:textId="77777777" w:rsidTr="00AB67AE">
        <w:tc>
          <w:tcPr>
            <w:tcW w:w="2070" w:type="dxa"/>
          </w:tcPr>
          <w:p w14:paraId="6E7FE037" w14:textId="4A75EEAD" w:rsidR="0032053C" w:rsidRPr="004F013F" w:rsidRDefault="004F013F" w:rsidP="0032053C">
            <w:r>
              <w:t>AnimalMovements</w:t>
            </w:r>
          </w:p>
        </w:tc>
        <w:tc>
          <w:tcPr>
            <w:tcW w:w="4165" w:type="dxa"/>
          </w:tcPr>
          <w:p w14:paraId="3AC986F5" w14:textId="48ABB692" w:rsidR="0032053C" w:rsidRPr="004F013F" w:rsidRDefault="004F013F" w:rsidP="0032053C">
            <w:r>
              <w:t>5 focal species; 1 ind. each; 1 day; 1 min. timestep</w:t>
            </w:r>
          </w:p>
        </w:tc>
        <w:tc>
          <w:tcPr>
            <w:tcW w:w="3115" w:type="dxa"/>
          </w:tcPr>
          <w:p w14:paraId="604B2AE9" w14:textId="77777777" w:rsidR="0032053C" w:rsidRDefault="0032053C" w:rsidP="0032053C">
            <w:pPr>
              <w:rPr>
                <w:b/>
                <w:bCs/>
              </w:rPr>
            </w:pPr>
          </w:p>
        </w:tc>
      </w:tr>
      <w:tr w:rsidR="0032053C" w14:paraId="19BA3DF0" w14:textId="77777777" w:rsidTr="00AB67AE">
        <w:tc>
          <w:tcPr>
            <w:tcW w:w="2070" w:type="dxa"/>
          </w:tcPr>
          <w:p w14:paraId="044C558E" w14:textId="78D6BCEB" w:rsidR="0032053C" w:rsidRPr="004F013F" w:rsidRDefault="004F013F" w:rsidP="0032053C">
            <w:r>
              <w:t>EnergyTrends</w:t>
            </w:r>
          </w:p>
        </w:tc>
        <w:tc>
          <w:tcPr>
            <w:tcW w:w="4165" w:type="dxa"/>
          </w:tcPr>
          <w:p w14:paraId="7F7ADFE1" w14:textId="2BC2417B" w:rsidR="0032053C" w:rsidRPr="004F013F" w:rsidRDefault="004F013F" w:rsidP="0032053C">
            <w:r>
              <w:t>5 focal species; 1000 ind. each; 1 year; 1 day output timestep; 20 min ind. timestep</w:t>
            </w:r>
          </w:p>
        </w:tc>
        <w:tc>
          <w:tcPr>
            <w:tcW w:w="3115" w:type="dxa"/>
          </w:tcPr>
          <w:p w14:paraId="27EBBCE4" w14:textId="77777777" w:rsidR="0032053C" w:rsidRDefault="0032053C" w:rsidP="0032053C">
            <w:pPr>
              <w:rPr>
                <w:b/>
                <w:bCs/>
              </w:rPr>
            </w:pPr>
          </w:p>
        </w:tc>
      </w:tr>
      <w:tr w:rsidR="0032053C" w14:paraId="11B2A535" w14:textId="77777777" w:rsidTr="00AB67AE">
        <w:tc>
          <w:tcPr>
            <w:tcW w:w="2070" w:type="dxa"/>
          </w:tcPr>
          <w:p w14:paraId="18E6E221" w14:textId="383022D4" w:rsidR="0032053C" w:rsidRPr="004F013F" w:rsidRDefault="00AB67AE" w:rsidP="0032053C">
            <w:r>
              <w:t>PreyQuality</w:t>
            </w:r>
          </w:p>
        </w:tc>
        <w:tc>
          <w:tcPr>
            <w:tcW w:w="4165" w:type="dxa"/>
          </w:tcPr>
          <w:p w14:paraId="6C7DB978" w14:textId="18EA9863" w:rsidR="0032053C" w:rsidRPr="004F013F" w:rsidRDefault="00AB67AE" w:rsidP="0032053C">
            <w:r>
              <w:t>10 focal species; 1000 ind. each; 1 year; 1 day output timestep; 20 min ind.</w:t>
            </w:r>
          </w:p>
        </w:tc>
        <w:tc>
          <w:tcPr>
            <w:tcW w:w="3115" w:type="dxa"/>
          </w:tcPr>
          <w:p w14:paraId="2E411440" w14:textId="77777777" w:rsidR="0032053C" w:rsidRDefault="0032053C" w:rsidP="0032053C">
            <w:pPr>
              <w:rPr>
                <w:b/>
                <w:bCs/>
              </w:rPr>
            </w:pPr>
          </w:p>
        </w:tc>
      </w:tr>
      <w:tr w:rsidR="00AB67AE" w14:paraId="53440D3F" w14:textId="77777777" w:rsidTr="00AB67AE">
        <w:tc>
          <w:tcPr>
            <w:tcW w:w="2070" w:type="dxa"/>
          </w:tcPr>
          <w:p w14:paraId="0D78A073" w14:textId="2F84F791" w:rsidR="00AB67AE" w:rsidRDefault="00AB67AE" w:rsidP="00AB67AE">
            <w:pPr>
              <w:rPr>
                <w:b/>
                <w:bCs/>
              </w:rPr>
            </w:pPr>
            <w:r>
              <w:t>FoodWebs</w:t>
            </w:r>
          </w:p>
        </w:tc>
        <w:tc>
          <w:tcPr>
            <w:tcW w:w="4165" w:type="dxa"/>
          </w:tcPr>
          <w:p w14:paraId="67B0061C" w14:textId="22BCC9BD" w:rsidR="00AB67AE" w:rsidRDefault="00AB67AE" w:rsidP="00AB67AE">
            <w:pPr>
              <w:rPr>
                <w:b/>
                <w:bCs/>
              </w:rPr>
            </w:pPr>
            <w:r>
              <w:t>45 focal species; 100 ind. each; 1 year; 1 day output timestep; 30 min ind. timestep</w:t>
            </w:r>
            <w:r>
              <w:t xml:space="preserve">; </w:t>
            </w:r>
            <w:r>
              <w:t>all species replenish</w:t>
            </w:r>
          </w:p>
        </w:tc>
        <w:tc>
          <w:tcPr>
            <w:tcW w:w="3115" w:type="dxa"/>
          </w:tcPr>
          <w:p w14:paraId="66E75210" w14:textId="77777777" w:rsidR="00AB67AE" w:rsidRDefault="00AB67AE" w:rsidP="00AB67AE">
            <w:pPr>
              <w:rPr>
                <w:b/>
                <w:bCs/>
              </w:rPr>
            </w:pPr>
          </w:p>
        </w:tc>
      </w:tr>
    </w:tbl>
    <w:p w14:paraId="7EB6EC87" w14:textId="77777777" w:rsidR="0032053C" w:rsidRDefault="0032053C" w:rsidP="0032053C">
      <w:pPr>
        <w:rPr>
          <w:b/>
          <w:bCs/>
        </w:rPr>
      </w:pPr>
    </w:p>
    <w:p w14:paraId="03C2F242" w14:textId="4C7AF440" w:rsidR="0032053C" w:rsidRDefault="0032053C" w:rsidP="0032053C">
      <w:pPr>
        <w:rPr>
          <w:b/>
          <w:bCs/>
        </w:rPr>
      </w:pPr>
      <w:r>
        <w:rPr>
          <w:b/>
          <w:bCs/>
        </w:rPr>
        <w:t>Acknowledgements</w:t>
      </w:r>
    </w:p>
    <w:p w14:paraId="2690DAAF" w14:textId="5F72BA41" w:rsidR="0032053C" w:rsidRPr="00966E43" w:rsidRDefault="00966E43" w:rsidP="00966E43">
      <w:pPr>
        <w:pStyle w:val="ListParagraph"/>
        <w:numPr>
          <w:ilvl w:val="0"/>
          <w:numId w:val="3"/>
        </w:numPr>
        <w:rPr>
          <w:b/>
          <w:bCs/>
        </w:rPr>
      </w:pPr>
      <w:r>
        <w:t>WHOI postdoctoral scholarship</w:t>
      </w:r>
    </w:p>
    <w:p w14:paraId="39AF9B75" w14:textId="1B1BB4ED" w:rsidR="00966E43" w:rsidRPr="00966E43" w:rsidRDefault="00966E43" w:rsidP="00966E43">
      <w:pPr>
        <w:pStyle w:val="ListParagraph"/>
        <w:numPr>
          <w:ilvl w:val="0"/>
          <w:numId w:val="3"/>
        </w:numPr>
        <w:rPr>
          <w:b/>
          <w:bCs/>
        </w:rPr>
      </w:pPr>
      <w:r>
        <w:t>WHOI Poseidon HPC (need statement from them.)</w:t>
      </w:r>
    </w:p>
    <w:p w14:paraId="2052AD46" w14:textId="533DC1CC" w:rsidR="0032053C" w:rsidRDefault="0032053C" w:rsidP="0032053C">
      <w:pPr>
        <w:rPr>
          <w:b/>
          <w:bCs/>
        </w:rPr>
      </w:pPr>
      <w:r>
        <w:rPr>
          <w:b/>
          <w:bCs/>
        </w:rPr>
        <w:t>References</w:t>
      </w:r>
    </w:p>
    <w:p w14:paraId="6DA91B80" w14:textId="77777777" w:rsidR="00B87266" w:rsidRPr="00B87266" w:rsidRDefault="00DB3F27" w:rsidP="00B87266">
      <w:pPr>
        <w:pStyle w:val="Bibliography"/>
        <w:rPr>
          <w:rFonts w:cs="Times New Roman"/>
        </w:rPr>
      </w:pPr>
      <w:r>
        <w:rPr>
          <w:b/>
          <w:bCs/>
        </w:rPr>
        <w:fldChar w:fldCharType="begin"/>
      </w:r>
      <w:r>
        <w:rPr>
          <w:b/>
          <w:bCs/>
        </w:rPr>
        <w:instrText xml:space="preserve"> ADDIN ZOTERO_BIBL {"uncited":[],"omitted":[],"custom":[]} CSL_BIBLIOGRAPHY </w:instrText>
      </w:r>
      <w:r>
        <w:rPr>
          <w:b/>
          <w:bCs/>
        </w:rPr>
        <w:fldChar w:fldCharType="separate"/>
      </w:r>
      <w:r w:rsidR="00B87266" w:rsidRPr="00B87266">
        <w:rPr>
          <w:rFonts w:cs="Times New Roman"/>
        </w:rPr>
        <w:t>1.</w:t>
      </w:r>
      <w:r w:rsidR="00B87266" w:rsidRPr="00B87266">
        <w:rPr>
          <w:rFonts w:cs="Times New Roman"/>
        </w:rPr>
        <w:tab/>
        <w:t xml:space="preserve">Weisberg, S. J. </w:t>
      </w:r>
      <w:r w:rsidR="00B87266" w:rsidRPr="00B87266">
        <w:rPr>
          <w:rFonts w:cs="Times New Roman"/>
          <w:i/>
          <w:iCs/>
        </w:rPr>
        <w:t>et al.</w:t>
      </w:r>
      <w:r w:rsidR="00B87266" w:rsidRPr="00B87266">
        <w:rPr>
          <w:rFonts w:cs="Times New Roman"/>
        </w:rPr>
        <w:t xml:space="preserve"> Merging trait‐based ecology and regime shift theory to anticipate community responses to warming. </w:t>
      </w:r>
      <w:r w:rsidR="00B87266" w:rsidRPr="00B87266">
        <w:rPr>
          <w:rFonts w:cs="Times New Roman"/>
          <w:i/>
          <w:iCs/>
        </w:rPr>
        <w:t>Glob. Change Biol.</w:t>
      </w:r>
      <w:r w:rsidR="00B87266" w:rsidRPr="00B87266">
        <w:rPr>
          <w:rFonts w:cs="Times New Roman"/>
        </w:rPr>
        <w:t xml:space="preserve"> </w:t>
      </w:r>
      <w:r w:rsidR="00B87266" w:rsidRPr="00B87266">
        <w:rPr>
          <w:rFonts w:cs="Times New Roman"/>
          <w:b/>
          <w:bCs/>
        </w:rPr>
        <w:t>30</w:t>
      </w:r>
      <w:r w:rsidR="00B87266" w:rsidRPr="00B87266">
        <w:rPr>
          <w:rFonts w:cs="Times New Roman"/>
        </w:rPr>
        <w:t>, e17065 (2024).</w:t>
      </w:r>
    </w:p>
    <w:p w14:paraId="0B90EE58" w14:textId="77777777" w:rsidR="00B87266" w:rsidRPr="00B87266" w:rsidRDefault="00B87266" w:rsidP="00B87266">
      <w:pPr>
        <w:pStyle w:val="Bibliography"/>
        <w:rPr>
          <w:rFonts w:cs="Times New Roman"/>
        </w:rPr>
      </w:pPr>
      <w:r w:rsidRPr="00B87266">
        <w:rPr>
          <w:rFonts w:cs="Times New Roman"/>
        </w:rPr>
        <w:t>2.</w:t>
      </w:r>
      <w:r w:rsidRPr="00B87266">
        <w:rPr>
          <w:rFonts w:cs="Times New Roman"/>
        </w:rPr>
        <w:tab/>
        <w:t xml:space="preserve">Papastamatiou, Y. P. </w:t>
      </w:r>
      <w:r w:rsidRPr="00B87266">
        <w:rPr>
          <w:rFonts w:cs="Times New Roman"/>
          <w:i/>
          <w:iCs/>
        </w:rPr>
        <w:t>et al.</w:t>
      </w:r>
      <w:r w:rsidRPr="00B87266">
        <w:rPr>
          <w:rFonts w:cs="Times New Roman"/>
        </w:rPr>
        <w:t xml:space="preserve"> Dynamic energy landscapes of predators and the implications for modifying prey risk. </w:t>
      </w:r>
      <w:r w:rsidRPr="00B87266">
        <w:rPr>
          <w:rFonts w:cs="Times New Roman"/>
          <w:i/>
          <w:iCs/>
        </w:rPr>
        <w:t>Funct. Ecol.</w:t>
      </w:r>
      <w:r w:rsidRPr="00B87266">
        <w:rPr>
          <w:rFonts w:cs="Times New Roman"/>
        </w:rPr>
        <w:t xml:space="preserve"> (2023).</w:t>
      </w:r>
    </w:p>
    <w:p w14:paraId="52146EB9" w14:textId="77777777" w:rsidR="00B87266" w:rsidRPr="00B87266" w:rsidRDefault="00B87266" w:rsidP="00B87266">
      <w:pPr>
        <w:pStyle w:val="Bibliography"/>
        <w:rPr>
          <w:rFonts w:cs="Times New Roman"/>
        </w:rPr>
      </w:pPr>
      <w:r w:rsidRPr="00B87266">
        <w:rPr>
          <w:rFonts w:cs="Times New Roman"/>
        </w:rPr>
        <w:t>3.</w:t>
      </w:r>
      <w:r w:rsidRPr="00B87266">
        <w:rPr>
          <w:rFonts w:cs="Times New Roman"/>
        </w:rPr>
        <w:tab/>
        <w:t xml:space="preserve">Brown, J. H., Gillooly, J. F., Alen, A. P., Savage, V. M. &amp; West, G. B. Toward a metabolic theory of ecology. </w:t>
      </w:r>
      <w:r w:rsidRPr="00B87266">
        <w:rPr>
          <w:rFonts w:cs="Times New Roman"/>
          <w:i/>
          <w:iCs/>
        </w:rPr>
        <w:t>Ecology</w:t>
      </w:r>
      <w:r w:rsidRPr="00B87266">
        <w:rPr>
          <w:rFonts w:cs="Times New Roman"/>
        </w:rPr>
        <w:t xml:space="preserve"> </w:t>
      </w:r>
      <w:r w:rsidRPr="00B87266">
        <w:rPr>
          <w:rFonts w:cs="Times New Roman"/>
          <w:b/>
          <w:bCs/>
        </w:rPr>
        <w:t>85</w:t>
      </w:r>
      <w:r w:rsidRPr="00B87266">
        <w:rPr>
          <w:rFonts w:cs="Times New Roman"/>
        </w:rPr>
        <w:t>, 1771–1789 (2004).</w:t>
      </w:r>
    </w:p>
    <w:p w14:paraId="74E8975B" w14:textId="77777777" w:rsidR="00B87266" w:rsidRPr="00B87266" w:rsidRDefault="00B87266" w:rsidP="00B87266">
      <w:pPr>
        <w:pStyle w:val="Bibliography"/>
        <w:rPr>
          <w:rFonts w:cs="Times New Roman"/>
        </w:rPr>
      </w:pPr>
      <w:r w:rsidRPr="00B87266">
        <w:rPr>
          <w:rFonts w:cs="Times New Roman"/>
        </w:rPr>
        <w:t>4.</w:t>
      </w:r>
      <w:r w:rsidRPr="00B87266">
        <w:rPr>
          <w:rFonts w:cs="Times New Roman"/>
        </w:rPr>
        <w:tab/>
        <w:t xml:space="preserve">Wu, Z. &amp; Forget, G. PlanktonIndividuals. jl: a GPU supported individual-based phytoplankton life cycle model. </w:t>
      </w:r>
      <w:r w:rsidRPr="00B87266">
        <w:rPr>
          <w:rFonts w:cs="Times New Roman"/>
          <w:i/>
          <w:iCs/>
        </w:rPr>
        <w:t>J. Open Source Softw.</w:t>
      </w:r>
      <w:r w:rsidRPr="00B87266">
        <w:rPr>
          <w:rFonts w:cs="Times New Roman"/>
        </w:rPr>
        <w:t xml:space="preserve"> </w:t>
      </w:r>
      <w:r w:rsidRPr="00B87266">
        <w:rPr>
          <w:rFonts w:cs="Times New Roman"/>
          <w:b/>
          <w:bCs/>
        </w:rPr>
        <w:t>7</w:t>
      </w:r>
      <w:r w:rsidRPr="00B87266">
        <w:rPr>
          <w:rFonts w:cs="Times New Roman"/>
        </w:rPr>
        <w:t>, 4207 (2022).</w:t>
      </w:r>
    </w:p>
    <w:p w14:paraId="1A036A55" w14:textId="77777777" w:rsidR="00B87266" w:rsidRPr="00B87266" w:rsidRDefault="00B87266" w:rsidP="00B87266">
      <w:pPr>
        <w:pStyle w:val="Bibliography"/>
        <w:rPr>
          <w:rFonts w:cs="Times New Roman"/>
        </w:rPr>
      </w:pPr>
      <w:r w:rsidRPr="00B87266">
        <w:rPr>
          <w:rFonts w:cs="Times New Roman"/>
        </w:rPr>
        <w:lastRenderedPageBreak/>
        <w:t>5.</w:t>
      </w:r>
      <w:r w:rsidRPr="00B87266">
        <w:rPr>
          <w:rFonts w:cs="Times New Roman"/>
        </w:rPr>
        <w:tab/>
        <w:t xml:space="preserve">Aksnes, D. L. Natural mortality, fecundity and development time in marine planktonic copepods-implications of behaviour. </w:t>
      </w:r>
      <w:r w:rsidRPr="00B87266">
        <w:rPr>
          <w:rFonts w:cs="Times New Roman"/>
          <w:i/>
          <w:iCs/>
        </w:rPr>
        <w:t>Mar Ecol Prog Ser</w:t>
      </w:r>
      <w:r w:rsidRPr="00B87266">
        <w:rPr>
          <w:rFonts w:cs="Times New Roman"/>
        </w:rPr>
        <w:t xml:space="preserve"> </w:t>
      </w:r>
      <w:r w:rsidRPr="00B87266">
        <w:rPr>
          <w:rFonts w:cs="Times New Roman"/>
          <w:b/>
          <w:bCs/>
        </w:rPr>
        <w:t>131</w:t>
      </w:r>
      <w:r w:rsidRPr="00B87266">
        <w:rPr>
          <w:rFonts w:cs="Times New Roman"/>
        </w:rPr>
        <w:t>, 315–316 (1996).</w:t>
      </w:r>
    </w:p>
    <w:p w14:paraId="1013047E" w14:textId="77777777" w:rsidR="00B87266" w:rsidRPr="00B87266" w:rsidRDefault="00B87266" w:rsidP="00B87266">
      <w:pPr>
        <w:pStyle w:val="Bibliography"/>
        <w:rPr>
          <w:rFonts w:cs="Times New Roman"/>
        </w:rPr>
      </w:pPr>
      <w:r w:rsidRPr="00B87266">
        <w:rPr>
          <w:rFonts w:cs="Times New Roman"/>
        </w:rPr>
        <w:t>6.</w:t>
      </w:r>
      <w:r w:rsidRPr="00B87266">
        <w:rPr>
          <w:rFonts w:cs="Times New Roman"/>
        </w:rPr>
        <w:tab/>
        <w:t xml:space="preserve">Langbehn, T. J., Aksnes, D. L., Kaartvedt, S. &amp; Fiksen, Ø. Light comfort zone in a mesopelagic fish emerges from adaptive behaviour along a latitudinal gradient. </w:t>
      </w:r>
      <w:r w:rsidRPr="00B87266">
        <w:rPr>
          <w:rFonts w:cs="Times New Roman"/>
          <w:i/>
          <w:iCs/>
        </w:rPr>
        <w:t>Mar. Ecol. Prog. Ser.</w:t>
      </w:r>
      <w:r w:rsidRPr="00B87266">
        <w:rPr>
          <w:rFonts w:cs="Times New Roman"/>
        </w:rPr>
        <w:t xml:space="preserve"> </w:t>
      </w:r>
      <w:r w:rsidRPr="00B87266">
        <w:rPr>
          <w:rFonts w:cs="Times New Roman"/>
          <w:b/>
          <w:bCs/>
        </w:rPr>
        <w:t>623</w:t>
      </w:r>
      <w:r w:rsidRPr="00B87266">
        <w:rPr>
          <w:rFonts w:cs="Times New Roman"/>
        </w:rPr>
        <w:t>, 161–174 (2019).</w:t>
      </w:r>
    </w:p>
    <w:p w14:paraId="449FFF6F" w14:textId="77777777" w:rsidR="00B87266" w:rsidRPr="00B87266" w:rsidRDefault="00B87266" w:rsidP="00B87266">
      <w:pPr>
        <w:pStyle w:val="Bibliography"/>
        <w:rPr>
          <w:rFonts w:cs="Times New Roman"/>
        </w:rPr>
      </w:pPr>
      <w:r w:rsidRPr="00B87266">
        <w:rPr>
          <w:rFonts w:cs="Times New Roman"/>
        </w:rPr>
        <w:t>7.</w:t>
      </w:r>
      <w:r w:rsidRPr="00B87266">
        <w:rPr>
          <w:rFonts w:cs="Times New Roman"/>
        </w:rPr>
        <w:tab/>
        <w:t xml:space="preserve">Ljungström, G., Langbehn, T. &amp; Jørgensen, C. Bergmann patterns in planktivorous fishes: A light‐size or zooplankton community‐size rule is just as valid explanation as the temperature‐size rule. </w:t>
      </w:r>
      <w:r w:rsidRPr="00B87266">
        <w:rPr>
          <w:rFonts w:cs="Times New Roman"/>
          <w:i/>
          <w:iCs/>
        </w:rPr>
        <w:t>Glob. Ecol. Biogeogr.</w:t>
      </w:r>
      <w:r w:rsidRPr="00B87266">
        <w:rPr>
          <w:rFonts w:cs="Times New Roman"/>
        </w:rPr>
        <w:t xml:space="preserve"> (2023).</w:t>
      </w:r>
    </w:p>
    <w:p w14:paraId="49171EDD" w14:textId="77777777" w:rsidR="00B87266" w:rsidRPr="00B87266" w:rsidRDefault="00B87266" w:rsidP="00B87266">
      <w:pPr>
        <w:pStyle w:val="Bibliography"/>
        <w:rPr>
          <w:rFonts w:cs="Times New Roman"/>
        </w:rPr>
      </w:pPr>
      <w:r w:rsidRPr="00B87266">
        <w:rPr>
          <w:rFonts w:cs="Times New Roman"/>
        </w:rPr>
        <w:t>8.</w:t>
      </w:r>
      <w:r w:rsidRPr="00B87266">
        <w:rPr>
          <w:rFonts w:cs="Times New Roman"/>
        </w:rPr>
        <w:tab/>
        <w:t xml:space="preserve">Ljungström, G., Langbehn, T. J. &amp; Jørgensen, C. Light and energetics at seasonal extremes limit poleward range shifts. </w:t>
      </w:r>
      <w:r w:rsidRPr="00B87266">
        <w:rPr>
          <w:rFonts w:cs="Times New Roman"/>
          <w:i/>
          <w:iCs/>
        </w:rPr>
        <w:t>Nat. Clim. Change</w:t>
      </w:r>
      <w:r w:rsidRPr="00B87266">
        <w:rPr>
          <w:rFonts w:cs="Times New Roman"/>
        </w:rPr>
        <w:t xml:space="preserve"> </w:t>
      </w:r>
      <w:r w:rsidRPr="00B87266">
        <w:rPr>
          <w:rFonts w:cs="Times New Roman"/>
          <w:b/>
          <w:bCs/>
        </w:rPr>
        <w:t>11</w:t>
      </w:r>
      <w:r w:rsidRPr="00B87266">
        <w:rPr>
          <w:rFonts w:cs="Times New Roman"/>
        </w:rPr>
        <w:t>, 530–536 (2021).</w:t>
      </w:r>
    </w:p>
    <w:p w14:paraId="1707E073" w14:textId="77777777" w:rsidR="00B87266" w:rsidRPr="00B87266" w:rsidRDefault="00B87266" w:rsidP="00B87266">
      <w:pPr>
        <w:pStyle w:val="Bibliography"/>
        <w:rPr>
          <w:rFonts w:cs="Times New Roman"/>
        </w:rPr>
      </w:pPr>
      <w:r w:rsidRPr="00B87266">
        <w:rPr>
          <w:rFonts w:cs="Times New Roman"/>
        </w:rPr>
        <w:t>9.</w:t>
      </w:r>
      <w:r w:rsidRPr="00B87266">
        <w:rPr>
          <w:rFonts w:cs="Times New Roman"/>
        </w:rPr>
        <w:tab/>
        <w:t xml:space="preserve">Angel, M. V. Biodiversity of the pelagic ocean. </w:t>
      </w:r>
      <w:r w:rsidRPr="00B87266">
        <w:rPr>
          <w:rFonts w:cs="Times New Roman"/>
          <w:i/>
          <w:iCs/>
        </w:rPr>
        <w:t>Conserv. Biol.</w:t>
      </w:r>
      <w:r w:rsidRPr="00B87266">
        <w:rPr>
          <w:rFonts w:cs="Times New Roman"/>
        </w:rPr>
        <w:t xml:space="preserve"> </w:t>
      </w:r>
      <w:r w:rsidRPr="00B87266">
        <w:rPr>
          <w:rFonts w:cs="Times New Roman"/>
          <w:b/>
          <w:bCs/>
        </w:rPr>
        <w:t>7</w:t>
      </w:r>
      <w:r w:rsidRPr="00B87266">
        <w:rPr>
          <w:rFonts w:cs="Times New Roman"/>
        </w:rPr>
        <w:t>, 760–772 (1993).</w:t>
      </w:r>
    </w:p>
    <w:p w14:paraId="243A5F4A" w14:textId="77777777" w:rsidR="00B87266" w:rsidRPr="00B87266" w:rsidRDefault="00B87266" w:rsidP="00B87266">
      <w:pPr>
        <w:pStyle w:val="Bibliography"/>
        <w:rPr>
          <w:rFonts w:cs="Times New Roman"/>
        </w:rPr>
      </w:pPr>
      <w:r w:rsidRPr="00B87266">
        <w:rPr>
          <w:rFonts w:cs="Times New Roman"/>
        </w:rPr>
        <w:t>10.</w:t>
      </w:r>
      <w:r w:rsidRPr="00B87266">
        <w:rPr>
          <w:rFonts w:cs="Times New Roman"/>
        </w:rPr>
        <w:tab/>
        <w:t xml:space="preserve">Hopkins, T. L. &amp; Gartner, J. V. Resource-partitioning and predation impact of a low-latitude myctophid community. </w:t>
      </w:r>
      <w:r w:rsidRPr="00B87266">
        <w:rPr>
          <w:rFonts w:cs="Times New Roman"/>
          <w:i/>
          <w:iCs/>
        </w:rPr>
        <w:t>Mar. Biol.</w:t>
      </w:r>
      <w:r w:rsidRPr="00B87266">
        <w:rPr>
          <w:rFonts w:cs="Times New Roman"/>
        </w:rPr>
        <w:t xml:space="preserve"> </w:t>
      </w:r>
      <w:r w:rsidRPr="00B87266">
        <w:rPr>
          <w:rFonts w:cs="Times New Roman"/>
          <w:b/>
          <w:bCs/>
        </w:rPr>
        <w:t>114</w:t>
      </w:r>
      <w:r w:rsidRPr="00B87266">
        <w:rPr>
          <w:rFonts w:cs="Times New Roman"/>
        </w:rPr>
        <w:t>, 185–197 (1992).</w:t>
      </w:r>
    </w:p>
    <w:p w14:paraId="6E66669B" w14:textId="77777777" w:rsidR="00B87266" w:rsidRPr="00B87266" w:rsidRDefault="00B87266" w:rsidP="00B87266">
      <w:pPr>
        <w:pStyle w:val="Bibliography"/>
        <w:rPr>
          <w:rFonts w:cs="Times New Roman"/>
        </w:rPr>
      </w:pPr>
      <w:r w:rsidRPr="00B87266">
        <w:rPr>
          <w:rFonts w:cs="Times New Roman"/>
        </w:rPr>
        <w:t>11.</w:t>
      </w:r>
      <w:r w:rsidRPr="00B87266">
        <w:rPr>
          <w:rFonts w:cs="Times New Roman"/>
        </w:rPr>
        <w:tab/>
        <w:t xml:space="preserve">Winberg, G. G. Rate of metabolism and food requirements of fish. </w:t>
      </w:r>
      <w:r w:rsidRPr="00B87266">
        <w:rPr>
          <w:rFonts w:cs="Times New Roman"/>
          <w:i/>
          <w:iCs/>
        </w:rPr>
        <w:t>Fish. Res. Board Can.</w:t>
      </w:r>
      <w:r w:rsidRPr="00B87266">
        <w:rPr>
          <w:rFonts w:cs="Times New Roman"/>
        </w:rPr>
        <w:t xml:space="preserve"> </w:t>
      </w:r>
      <w:r w:rsidRPr="00B87266">
        <w:rPr>
          <w:rFonts w:cs="Times New Roman"/>
          <w:b/>
          <w:bCs/>
        </w:rPr>
        <w:t>194</w:t>
      </w:r>
      <w:r w:rsidRPr="00B87266">
        <w:rPr>
          <w:rFonts w:cs="Times New Roman"/>
        </w:rPr>
        <w:t>, 1–253 (1956).</w:t>
      </w:r>
    </w:p>
    <w:p w14:paraId="697B4882" w14:textId="77777777" w:rsidR="00B87266" w:rsidRPr="00B87266" w:rsidRDefault="00B87266" w:rsidP="00B87266">
      <w:pPr>
        <w:pStyle w:val="Bibliography"/>
        <w:rPr>
          <w:rFonts w:cs="Times New Roman"/>
        </w:rPr>
      </w:pPr>
      <w:r w:rsidRPr="00B87266">
        <w:rPr>
          <w:rFonts w:cs="Times New Roman"/>
        </w:rPr>
        <w:t>12.</w:t>
      </w:r>
      <w:r w:rsidRPr="00B87266">
        <w:rPr>
          <w:rFonts w:cs="Times New Roman"/>
        </w:rPr>
        <w:tab/>
        <w:t xml:space="preserve">Brett, J. &amp; Groves, T. Physiological energetics: volume VIII, bioenergetics and growth. in </w:t>
      </w:r>
      <w:r w:rsidRPr="00B87266">
        <w:rPr>
          <w:rFonts w:cs="Times New Roman"/>
          <w:i/>
          <w:iCs/>
        </w:rPr>
        <w:t>Fish Physiology</w:t>
      </w:r>
      <w:r w:rsidRPr="00B87266">
        <w:rPr>
          <w:rFonts w:cs="Times New Roman"/>
        </w:rPr>
        <w:t xml:space="preserve"> (eds. Hoar, W. S., Randall, D. J. &amp; Brett, J. R.) 280–352 (Academic Press, 1979).</w:t>
      </w:r>
    </w:p>
    <w:p w14:paraId="39999B56" w14:textId="77777777" w:rsidR="00B87266" w:rsidRPr="00B87266" w:rsidRDefault="00B87266" w:rsidP="00B87266">
      <w:pPr>
        <w:pStyle w:val="Bibliography"/>
        <w:rPr>
          <w:rFonts w:cs="Times New Roman"/>
        </w:rPr>
      </w:pPr>
      <w:r w:rsidRPr="00B87266">
        <w:rPr>
          <w:rFonts w:cs="Times New Roman"/>
        </w:rPr>
        <w:t>13.</w:t>
      </w:r>
      <w:r w:rsidRPr="00B87266">
        <w:rPr>
          <w:rFonts w:cs="Times New Roman"/>
        </w:rPr>
        <w:tab/>
        <w:t xml:space="preserve">Pakhomov, E. A., Perissinotto, R. &amp; McQuaid, C. D. Prey composition and daily rations of myctophid fishes in the Southern Ocean. </w:t>
      </w:r>
      <w:r w:rsidRPr="00B87266">
        <w:rPr>
          <w:rFonts w:cs="Times New Roman"/>
          <w:i/>
          <w:iCs/>
        </w:rPr>
        <w:t>Mar. Ecol. Prog. Ser.</w:t>
      </w:r>
      <w:r w:rsidRPr="00B87266">
        <w:rPr>
          <w:rFonts w:cs="Times New Roman"/>
        </w:rPr>
        <w:t xml:space="preserve"> </w:t>
      </w:r>
      <w:r w:rsidRPr="00B87266">
        <w:rPr>
          <w:rFonts w:cs="Times New Roman"/>
          <w:b/>
          <w:bCs/>
        </w:rPr>
        <w:t>134</w:t>
      </w:r>
      <w:r w:rsidRPr="00B87266">
        <w:rPr>
          <w:rFonts w:cs="Times New Roman"/>
        </w:rPr>
        <w:t>, 1–14 (1996).</w:t>
      </w:r>
    </w:p>
    <w:p w14:paraId="54E91299" w14:textId="77777777" w:rsidR="00B87266" w:rsidRPr="00B87266" w:rsidRDefault="00B87266" w:rsidP="00B87266">
      <w:pPr>
        <w:pStyle w:val="Bibliography"/>
        <w:rPr>
          <w:rFonts w:cs="Times New Roman"/>
        </w:rPr>
      </w:pPr>
      <w:r w:rsidRPr="00B87266">
        <w:rPr>
          <w:rFonts w:cs="Times New Roman"/>
        </w:rPr>
        <w:t>14.</w:t>
      </w:r>
      <w:r w:rsidRPr="00B87266">
        <w:rPr>
          <w:rFonts w:cs="Times New Roman"/>
        </w:rPr>
        <w:tab/>
        <w:t xml:space="preserve">Hudson, J. M., Steinberg, D. K., Sutton, T. T., Graves, J. E. &amp; Latour, R. J. Myctophid feeding ecology and carbon transport along the northern Mid-Atlantic Ridge. </w:t>
      </w:r>
      <w:r w:rsidRPr="00B87266">
        <w:rPr>
          <w:rFonts w:cs="Times New Roman"/>
          <w:i/>
          <w:iCs/>
        </w:rPr>
        <w:t>Deep-Sea Res. Part Oceanogr. Res. Pap.</w:t>
      </w:r>
      <w:r w:rsidRPr="00B87266">
        <w:rPr>
          <w:rFonts w:cs="Times New Roman"/>
        </w:rPr>
        <w:t xml:space="preserve"> </w:t>
      </w:r>
      <w:r w:rsidRPr="00B87266">
        <w:rPr>
          <w:rFonts w:cs="Times New Roman"/>
          <w:b/>
          <w:bCs/>
        </w:rPr>
        <w:t>93</w:t>
      </w:r>
      <w:r w:rsidRPr="00B87266">
        <w:rPr>
          <w:rFonts w:cs="Times New Roman"/>
        </w:rPr>
        <w:t>, 104–116 (2014).</w:t>
      </w:r>
    </w:p>
    <w:p w14:paraId="157866DA" w14:textId="206921A7" w:rsidR="00DB3F27" w:rsidRDefault="00DB3F27" w:rsidP="0032053C">
      <w:pPr>
        <w:rPr>
          <w:b/>
          <w:bCs/>
        </w:rPr>
      </w:pPr>
      <w:r>
        <w:rPr>
          <w:b/>
          <w:bCs/>
        </w:rPr>
        <w:lastRenderedPageBreak/>
        <w:fldChar w:fldCharType="end"/>
      </w:r>
    </w:p>
    <w:p w14:paraId="2B9A73C0" w14:textId="77777777" w:rsidR="00DB3F27" w:rsidRPr="0032053C" w:rsidRDefault="00DB3F27" w:rsidP="0032053C">
      <w:pPr>
        <w:rPr>
          <w:b/>
          <w:bCs/>
        </w:rPr>
      </w:pPr>
    </w:p>
    <w:sectPr w:rsidR="00DB3F27" w:rsidRPr="00320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87D08"/>
    <w:multiLevelType w:val="hybridMultilevel"/>
    <w:tmpl w:val="E5441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CF70E6"/>
    <w:multiLevelType w:val="hybridMultilevel"/>
    <w:tmpl w:val="E3DCF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D93B57"/>
    <w:multiLevelType w:val="hybridMultilevel"/>
    <w:tmpl w:val="6A00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7379883">
    <w:abstractNumId w:val="1"/>
  </w:num>
  <w:num w:numId="2" w16cid:durableId="474488387">
    <w:abstractNumId w:val="0"/>
  </w:num>
  <w:num w:numId="3" w16cid:durableId="1064521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53C"/>
    <w:rsid w:val="001266C1"/>
    <w:rsid w:val="001C6B4D"/>
    <w:rsid w:val="0030750A"/>
    <w:rsid w:val="0032053C"/>
    <w:rsid w:val="003B560D"/>
    <w:rsid w:val="003D5C5B"/>
    <w:rsid w:val="003E0318"/>
    <w:rsid w:val="004F013F"/>
    <w:rsid w:val="0055347A"/>
    <w:rsid w:val="00661E4F"/>
    <w:rsid w:val="006B59E8"/>
    <w:rsid w:val="007338F6"/>
    <w:rsid w:val="007C1029"/>
    <w:rsid w:val="007D46A4"/>
    <w:rsid w:val="00881F68"/>
    <w:rsid w:val="008C7361"/>
    <w:rsid w:val="00966E43"/>
    <w:rsid w:val="009A4701"/>
    <w:rsid w:val="009C10F1"/>
    <w:rsid w:val="00A635CB"/>
    <w:rsid w:val="00AB67AE"/>
    <w:rsid w:val="00B87266"/>
    <w:rsid w:val="00C97637"/>
    <w:rsid w:val="00D33748"/>
    <w:rsid w:val="00D7094A"/>
    <w:rsid w:val="00D8430D"/>
    <w:rsid w:val="00DB3F27"/>
    <w:rsid w:val="00E25E67"/>
    <w:rsid w:val="00E3395D"/>
    <w:rsid w:val="00E810D6"/>
    <w:rsid w:val="00ED2873"/>
    <w:rsid w:val="00ED4CE3"/>
    <w:rsid w:val="00F15452"/>
    <w:rsid w:val="00F8433F"/>
    <w:rsid w:val="00FB2E53"/>
    <w:rsid w:val="00FE1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75024"/>
  <w15:chartTrackingRefBased/>
  <w15:docId w15:val="{8134FBC9-0B4A-4CF2-B2C9-322E7CE4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361"/>
    <w:rPr>
      <w:rFonts w:cstheme="minorBidi"/>
      <w:szCs w:val="22"/>
    </w:rPr>
  </w:style>
  <w:style w:type="paragraph" w:styleId="Heading1">
    <w:name w:val="heading 1"/>
    <w:basedOn w:val="Normal"/>
    <w:next w:val="Normal"/>
    <w:link w:val="Heading1Char"/>
    <w:autoRedefine/>
    <w:uiPriority w:val="9"/>
    <w:qFormat/>
    <w:rsid w:val="00E25E67"/>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E25E67"/>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semiHidden/>
    <w:unhideWhenUsed/>
    <w:qFormat/>
    <w:rsid w:val="001C6B4D"/>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32053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2053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2053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2053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2053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2053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E6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E25E67"/>
    <w:rPr>
      <w:rFonts w:ascii="Times New Roman" w:eastAsiaTheme="majorEastAsia" w:hAnsi="Times New Roman" w:cstheme="majorBidi"/>
      <w:i/>
      <w:sz w:val="24"/>
      <w:szCs w:val="26"/>
    </w:rPr>
  </w:style>
  <w:style w:type="character" w:customStyle="1" w:styleId="Heading3Char">
    <w:name w:val="Heading 3 Char"/>
    <w:basedOn w:val="DefaultParagraphFont"/>
    <w:link w:val="Heading3"/>
    <w:uiPriority w:val="9"/>
    <w:semiHidden/>
    <w:rsid w:val="001C6B4D"/>
    <w:rPr>
      <w:rFonts w:eastAsiaTheme="majorEastAsia" w:cstheme="majorBidi"/>
    </w:rPr>
  </w:style>
  <w:style w:type="character" w:customStyle="1" w:styleId="Heading4Char">
    <w:name w:val="Heading 4 Char"/>
    <w:basedOn w:val="DefaultParagraphFont"/>
    <w:link w:val="Heading4"/>
    <w:uiPriority w:val="9"/>
    <w:semiHidden/>
    <w:rsid w:val="0032053C"/>
    <w:rPr>
      <w:rFonts w:asciiTheme="minorHAnsi" w:eastAsiaTheme="majorEastAsia" w:hAnsiTheme="minorHAnsi" w:cstheme="majorBidi"/>
      <w:i/>
      <w:iCs/>
      <w:color w:val="0F4761" w:themeColor="accent1" w:themeShade="BF"/>
      <w:szCs w:val="22"/>
    </w:rPr>
  </w:style>
  <w:style w:type="character" w:customStyle="1" w:styleId="Heading5Char">
    <w:name w:val="Heading 5 Char"/>
    <w:basedOn w:val="DefaultParagraphFont"/>
    <w:link w:val="Heading5"/>
    <w:uiPriority w:val="9"/>
    <w:semiHidden/>
    <w:rsid w:val="0032053C"/>
    <w:rPr>
      <w:rFonts w:asciiTheme="minorHAnsi" w:eastAsiaTheme="majorEastAsia" w:hAnsiTheme="minorHAnsi" w:cstheme="majorBidi"/>
      <w:color w:val="0F4761" w:themeColor="accent1" w:themeShade="BF"/>
      <w:szCs w:val="22"/>
    </w:rPr>
  </w:style>
  <w:style w:type="character" w:customStyle="1" w:styleId="Heading6Char">
    <w:name w:val="Heading 6 Char"/>
    <w:basedOn w:val="DefaultParagraphFont"/>
    <w:link w:val="Heading6"/>
    <w:uiPriority w:val="9"/>
    <w:semiHidden/>
    <w:rsid w:val="0032053C"/>
    <w:rPr>
      <w:rFonts w:asciiTheme="minorHAnsi" w:eastAsiaTheme="majorEastAsia" w:hAnsiTheme="minorHAnsi" w:cstheme="majorBidi"/>
      <w:i/>
      <w:iCs/>
      <w:color w:val="595959" w:themeColor="text1" w:themeTint="A6"/>
      <w:szCs w:val="22"/>
    </w:rPr>
  </w:style>
  <w:style w:type="character" w:customStyle="1" w:styleId="Heading7Char">
    <w:name w:val="Heading 7 Char"/>
    <w:basedOn w:val="DefaultParagraphFont"/>
    <w:link w:val="Heading7"/>
    <w:uiPriority w:val="9"/>
    <w:semiHidden/>
    <w:rsid w:val="0032053C"/>
    <w:rPr>
      <w:rFonts w:asciiTheme="minorHAnsi" w:eastAsiaTheme="majorEastAsia" w:hAnsiTheme="minorHAnsi" w:cstheme="majorBidi"/>
      <w:color w:val="595959" w:themeColor="text1" w:themeTint="A6"/>
      <w:szCs w:val="22"/>
    </w:rPr>
  </w:style>
  <w:style w:type="character" w:customStyle="1" w:styleId="Heading8Char">
    <w:name w:val="Heading 8 Char"/>
    <w:basedOn w:val="DefaultParagraphFont"/>
    <w:link w:val="Heading8"/>
    <w:uiPriority w:val="9"/>
    <w:semiHidden/>
    <w:rsid w:val="0032053C"/>
    <w:rPr>
      <w:rFonts w:asciiTheme="minorHAnsi" w:eastAsiaTheme="majorEastAsia" w:hAnsiTheme="minorHAnsi" w:cstheme="majorBidi"/>
      <w:i/>
      <w:iCs/>
      <w:color w:val="272727" w:themeColor="text1" w:themeTint="D8"/>
      <w:szCs w:val="22"/>
    </w:rPr>
  </w:style>
  <w:style w:type="character" w:customStyle="1" w:styleId="Heading9Char">
    <w:name w:val="Heading 9 Char"/>
    <w:basedOn w:val="DefaultParagraphFont"/>
    <w:link w:val="Heading9"/>
    <w:uiPriority w:val="9"/>
    <w:semiHidden/>
    <w:rsid w:val="0032053C"/>
    <w:rPr>
      <w:rFonts w:asciiTheme="minorHAnsi" w:eastAsiaTheme="majorEastAsia" w:hAnsiTheme="minorHAnsi" w:cstheme="majorBidi"/>
      <w:color w:val="272727" w:themeColor="text1" w:themeTint="D8"/>
      <w:szCs w:val="22"/>
    </w:rPr>
  </w:style>
  <w:style w:type="paragraph" w:styleId="Title">
    <w:name w:val="Title"/>
    <w:basedOn w:val="Normal"/>
    <w:next w:val="Normal"/>
    <w:link w:val="TitleChar"/>
    <w:uiPriority w:val="10"/>
    <w:qFormat/>
    <w:rsid w:val="003205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5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53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53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2053C"/>
    <w:pPr>
      <w:spacing w:before="160"/>
      <w:jc w:val="center"/>
    </w:pPr>
    <w:rPr>
      <w:i/>
      <w:iCs/>
      <w:color w:val="404040" w:themeColor="text1" w:themeTint="BF"/>
    </w:rPr>
  </w:style>
  <w:style w:type="character" w:customStyle="1" w:styleId="QuoteChar">
    <w:name w:val="Quote Char"/>
    <w:basedOn w:val="DefaultParagraphFont"/>
    <w:link w:val="Quote"/>
    <w:uiPriority w:val="29"/>
    <w:rsid w:val="0032053C"/>
    <w:rPr>
      <w:rFonts w:cstheme="minorBidi"/>
      <w:i/>
      <w:iCs/>
      <w:color w:val="404040" w:themeColor="text1" w:themeTint="BF"/>
      <w:szCs w:val="22"/>
    </w:rPr>
  </w:style>
  <w:style w:type="paragraph" w:styleId="ListParagraph">
    <w:name w:val="List Paragraph"/>
    <w:basedOn w:val="Normal"/>
    <w:uiPriority w:val="34"/>
    <w:qFormat/>
    <w:rsid w:val="0032053C"/>
    <w:pPr>
      <w:ind w:left="720"/>
      <w:contextualSpacing/>
    </w:pPr>
  </w:style>
  <w:style w:type="character" w:styleId="IntenseEmphasis">
    <w:name w:val="Intense Emphasis"/>
    <w:basedOn w:val="DefaultParagraphFont"/>
    <w:uiPriority w:val="21"/>
    <w:qFormat/>
    <w:rsid w:val="0032053C"/>
    <w:rPr>
      <w:i/>
      <w:iCs/>
      <w:color w:val="0F4761" w:themeColor="accent1" w:themeShade="BF"/>
    </w:rPr>
  </w:style>
  <w:style w:type="paragraph" w:styleId="IntenseQuote">
    <w:name w:val="Intense Quote"/>
    <w:basedOn w:val="Normal"/>
    <w:next w:val="Normal"/>
    <w:link w:val="IntenseQuoteChar"/>
    <w:uiPriority w:val="30"/>
    <w:qFormat/>
    <w:rsid w:val="003205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53C"/>
    <w:rPr>
      <w:rFonts w:cstheme="minorBidi"/>
      <w:i/>
      <w:iCs/>
      <w:color w:val="0F4761" w:themeColor="accent1" w:themeShade="BF"/>
      <w:szCs w:val="22"/>
    </w:rPr>
  </w:style>
  <w:style w:type="character" w:styleId="IntenseReference">
    <w:name w:val="Intense Reference"/>
    <w:basedOn w:val="DefaultParagraphFont"/>
    <w:uiPriority w:val="32"/>
    <w:qFormat/>
    <w:rsid w:val="0032053C"/>
    <w:rPr>
      <w:b/>
      <w:bCs/>
      <w:smallCaps/>
      <w:color w:val="0F4761" w:themeColor="accent1" w:themeShade="BF"/>
      <w:spacing w:val="5"/>
    </w:rPr>
  </w:style>
  <w:style w:type="table" w:styleId="TableGrid">
    <w:name w:val="Table Grid"/>
    <w:basedOn w:val="TableNormal"/>
    <w:uiPriority w:val="39"/>
    <w:rsid w:val="00320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B3F27"/>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235724">
      <w:bodyDiv w:val="1"/>
      <w:marLeft w:val="0"/>
      <w:marRight w:val="0"/>
      <w:marTop w:val="0"/>
      <w:marBottom w:val="0"/>
      <w:divBdr>
        <w:top w:val="none" w:sz="0" w:space="0" w:color="auto"/>
        <w:left w:val="none" w:sz="0" w:space="0" w:color="auto"/>
        <w:bottom w:val="none" w:sz="0" w:space="0" w:color="auto"/>
        <w:right w:val="none" w:sz="0" w:space="0" w:color="auto"/>
      </w:divBdr>
      <w:divsChild>
        <w:div w:id="1677885171">
          <w:marLeft w:val="0"/>
          <w:marRight w:val="0"/>
          <w:marTop w:val="0"/>
          <w:marBottom w:val="0"/>
          <w:divBdr>
            <w:top w:val="none" w:sz="0" w:space="0" w:color="auto"/>
            <w:left w:val="none" w:sz="0" w:space="0" w:color="auto"/>
            <w:bottom w:val="none" w:sz="0" w:space="0" w:color="auto"/>
            <w:right w:val="none" w:sz="0" w:space="0" w:color="auto"/>
          </w:divBdr>
          <w:divsChild>
            <w:div w:id="11893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0976">
      <w:bodyDiv w:val="1"/>
      <w:marLeft w:val="0"/>
      <w:marRight w:val="0"/>
      <w:marTop w:val="0"/>
      <w:marBottom w:val="0"/>
      <w:divBdr>
        <w:top w:val="none" w:sz="0" w:space="0" w:color="auto"/>
        <w:left w:val="none" w:sz="0" w:space="0" w:color="auto"/>
        <w:bottom w:val="none" w:sz="0" w:space="0" w:color="auto"/>
        <w:right w:val="none" w:sz="0" w:space="0" w:color="auto"/>
      </w:divBdr>
      <w:divsChild>
        <w:div w:id="1741176926">
          <w:marLeft w:val="0"/>
          <w:marRight w:val="0"/>
          <w:marTop w:val="0"/>
          <w:marBottom w:val="0"/>
          <w:divBdr>
            <w:top w:val="none" w:sz="0" w:space="0" w:color="auto"/>
            <w:left w:val="none" w:sz="0" w:space="0" w:color="auto"/>
            <w:bottom w:val="none" w:sz="0" w:space="0" w:color="auto"/>
            <w:right w:val="none" w:sz="0" w:space="0" w:color="auto"/>
          </w:divBdr>
          <w:divsChild>
            <w:div w:id="18241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2231</TotalTime>
  <Pages>7</Pages>
  <Words>5141</Words>
  <Characters>29307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Matthew S. Woodstock</dc:creator>
  <cp:keywords/>
  <dc:description/>
  <cp:lastModifiedBy>Mr. Matthew S. Woodstock</cp:lastModifiedBy>
  <cp:revision>9</cp:revision>
  <dcterms:created xsi:type="dcterms:W3CDTF">2024-03-14T18:05:00Z</dcterms:created>
  <dcterms:modified xsi:type="dcterms:W3CDTF">2024-03-20T15:39:00Z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id="qfDsIXum"/&gt;&lt;style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