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27E4C7CB" w:rsidR="00CA7A45" w:rsidRPr="00647398" w:rsidRDefault="008D5075">
      <w:pPr>
        <w:jc w:val="center"/>
        <w:rPr>
          <w:rFonts w:ascii="Times New Roman" w:eastAsia="方正小标宋简体" w:hAnsi="Times New Roman" w:cs="Times New Roman"/>
          <w:sz w:val="36"/>
          <w:szCs w:val="32"/>
        </w:rPr>
      </w:pPr>
      <w:r>
        <w:rPr>
          <w:rFonts w:ascii="方正小标宋简体" w:hAnsi="方正小标宋简体" w:eastAsia="方正小标宋简体"/>
          <w:sz w:val="44"/>
        </w:rPr>
        <w:t>2000-2025年内蒙古中西部七盟市研究区地区云水资源诊断评估和特征分析</w:t>
      </w:r>
    </w:p>
    <w:p w14:paraId="7801E21C" w14:textId="20CCB353" w:rsidR="00CA7A45" w:rsidRPr="00F44003" w:rsidRDefault="00A42F18">
      <w:pPr>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中国气象局人工影响天气中心云水资源研究团队</w:t>
      </w:r>
    </w:p>
    <w:p w14:paraId="7B4C4660" w14:textId="03C21EEB" w:rsidR="00CA7A45" w:rsidRPr="00F44003"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根据[]任务需求，对2000-2025年内蒙古中西部七盟市研究区地区的云水资源进行诊断评估和特征分析。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0" w:name="OLE_LINK18"/>
      <w:r w:rsidRPr="00F44003">
        <w:rPr>
          <w:rFonts w:ascii="仿宋_GB2312" w:eastAsia="仿宋_GB2312" w:hAnsi="Times New Roman" w:hint="eastAsia"/>
          <w:b/>
          <w:bCs/>
          <w:sz w:val="32"/>
          <w:szCs w:val="24"/>
        </w:rPr>
        <w:t>1.1云水资源相关定义</w:t>
      </w:r>
    </w:p>
    <w:bookmarkEnd w:id="0"/>
    <w:p w14:paraId="7EF0E87F" w14:textId="3D3B575B" w:rsidR="00A42F18" w:rsidRPr="00F44003" w:rsidRDefault="008D1215"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陆地水资源主要来源于大气降水，大气中的水由水汽和水凝物组成，其中大气水凝物通常叫云水。一定时段</w:t>
      </w:r>
      <w:r w:rsidR="00A42F18" w:rsidRPr="00F44003">
        <w:rPr>
          <w:rFonts w:ascii="仿宋_GB2312" w:eastAsia="仿宋_GB2312" w:hAnsi="Times New Roman" w:hint="eastAsia"/>
          <w:sz w:val="32"/>
          <w:szCs w:val="24"/>
        </w:rPr>
        <w:t>内，</w:t>
      </w:r>
      <w:r w:rsidRPr="00F44003">
        <w:rPr>
          <w:rFonts w:ascii="仿宋_GB2312" w:eastAsia="仿宋_GB2312" w:hAnsi="Times New Roman" w:hint="eastAsia"/>
          <w:sz w:val="32"/>
          <w:szCs w:val="24"/>
        </w:rPr>
        <w:t>参与区域大气水循环的所有</w:t>
      </w:r>
      <w:r w:rsidR="00A42F18" w:rsidRPr="00F44003">
        <w:rPr>
          <w:rFonts w:ascii="仿宋_GB2312" w:eastAsia="仿宋_GB2312" w:hAnsi="Times New Roman" w:hint="eastAsia"/>
          <w:sz w:val="32"/>
          <w:szCs w:val="24"/>
        </w:rPr>
        <w:t>水汽量称为水汽总量</w:t>
      </w:r>
      <w:r w:rsidR="00BB41D7" w:rsidRPr="00F44003">
        <w:rPr>
          <w:rFonts w:ascii="仿宋_GB2312" w:eastAsia="仿宋_GB2312" w:hAnsi="Times New Roman" w:hint="eastAsia"/>
          <w:sz w:val="32"/>
          <w:szCs w:val="24"/>
        </w:rPr>
        <w:t>（</w:t>
      </w:r>
      <w:proofErr w:type="spellStart"/>
      <w:r w:rsidR="00BB41D7" w:rsidRPr="00F44003">
        <w:rPr>
          <w:rFonts w:ascii="仿宋_GB2312" w:eastAsia="仿宋_GB2312" w:hAnsi="Times New Roman" w:hint="eastAsia"/>
          <w:sz w:val="32"/>
          <w:szCs w:val="24"/>
        </w:rPr>
        <w:t>GM</w:t>
      </w:r>
      <w:r w:rsidR="00BB41D7" w:rsidRPr="00F44003">
        <w:rPr>
          <w:rFonts w:ascii="仿宋_GB2312" w:eastAsia="仿宋_GB2312" w:hAnsi="Times New Roman" w:hint="eastAsia"/>
          <w:sz w:val="32"/>
          <w:szCs w:val="24"/>
          <w:vertAlign w:val="subscript"/>
        </w:rPr>
        <w:t>v</w:t>
      </w:r>
      <w:proofErr w:type="spellEnd"/>
      <w:r w:rsidR="00BB41D7" w:rsidRPr="00F44003">
        <w:rPr>
          <w:rFonts w:ascii="仿宋_GB2312" w:eastAsia="仿宋_GB2312" w:hAnsi="Times New Roman" w:hint="eastAsia"/>
          <w:sz w:val="32"/>
          <w:szCs w:val="24"/>
        </w:rPr>
        <w:t>，单位：kg，折合柱水量为mm），其中有一部分可通过凝结（凝华）过程转化为水凝物，其比例称为凝结效率（CE</w:t>
      </w:r>
      <w:r w:rsidR="00BB41D7" w:rsidRPr="00F44003">
        <w:rPr>
          <w:rFonts w:ascii="仿宋_GB2312" w:eastAsia="仿宋_GB2312" w:hAnsi="Times New Roman" w:hint="eastAsia"/>
          <w:sz w:val="32"/>
          <w:szCs w:val="24"/>
          <w:vertAlign w:val="subscript"/>
        </w:rPr>
        <w:t>v</w:t>
      </w:r>
      <w:r w:rsidR="00BB41D7"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参与区域大气水循环的所有</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量定义为水凝物总量</w:t>
      </w:r>
      <w:bookmarkStart w:id="1" w:name="OLE_LINK1"/>
      <w:r w:rsidR="00A42F18" w:rsidRPr="00F44003">
        <w:rPr>
          <w:rFonts w:ascii="仿宋_GB2312" w:eastAsia="仿宋_GB2312" w:hAnsi="Times New Roman" w:hint="eastAsia"/>
          <w:sz w:val="32"/>
          <w:szCs w:val="24"/>
        </w:rPr>
        <w:t>（</w:t>
      </w:r>
      <w:proofErr w:type="spellStart"/>
      <w:r w:rsidR="00A42F18" w:rsidRPr="00F44003">
        <w:rPr>
          <w:rFonts w:ascii="仿宋_GB2312" w:eastAsia="仿宋_GB2312" w:hAnsi="Times New Roman" w:hint="eastAsia"/>
          <w:sz w:val="32"/>
          <w:szCs w:val="24"/>
        </w:rPr>
        <w:t>GM</w:t>
      </w:r>
      <w:r w:rsidR="00A42F18" w:rsidRPr="00F44003">
        <w:rPr>
          <w:rFonts w:ascii="仿宋_GB2312" w:eastAsia="仿宋_GB2312" w:hAnsi="Times New Roman" w:hint="eastAsia"/>
          <w:sz w:val="32"/>
          <w:szCs w:val="24"/>
          <w:vertAlign w:val="subscript"/>
        </w:rPr>
        <w:t>h</w:t>
      </w:r>
      <w:proofErr w:type="spellEnd"/>
      <w:r w:rsidR="00A42F18" w:rsidRPr="00F44003">
        <w:rPr>
          <w:rFonts w:ascii="仿宋_GB2312" w:eastAsia="仿宋_GB2312" w:hAnsi="Times New Roman" w:hint="eastAsia"/>
          <w:sz w:val="32"/>
          <w:szCs w:val="24"/>
        </w:rPr>
        <w:t>，又叫云水总量</w:t>
      </w:r>
      <w:r w:rsidR="00D70D70" w:rsidRPr="00F44003">
        <w:rPr>
          <w:rFonts w:ascii="仿宋_GB2312" w:eastAsia="仿宋_GB2312" w:hAnsi="Times New Roman" w:hint="eastAsia"/>
          <w:sz w:val="32"/>
          <w:szCs w:val="24"/>
        </w:rPr>
        <w:t>，</w:t>
      </w:r>
      <w:bookmarkStart w:id="2" w:name="OLE_LINK16"/>
      <w:r w:rsidR="00D70D70" w:rsidRPr="00F44003">
        <w:rPr>
          <w:rFonts w:ascii="仿宋_GB2312" w:eastAsia="仿宋_GB2312" w:hAnsi="Times New Roman" w:hint="eastAsia"/>
          <w:sz w:val="32"/>
          <w:szCs w:val="24"/>
        </w:rPr>
        <w:t>单位：kg</w:t>
      </w:r>
      <w:bookmarkEnd w:id="2"/>
      <w:r w:rsidR="00BB41D7" w:rsidRPr="00F44003">
        <w:rPr>
          <w:rFonts w:ascii="仿宋_GB2312" w:eastAsia="仿宋_GB2312" w:hAnsi="Times New Roman" w:hint="eastAsia"/>
          <w:sz w:val="32"/>
          <w:szCs w:val="24"/>
        </w:rPr>
        <w:t>或</w:t>
      </w:r>
      <w:r w:rsidR="00D70D70" w:rsidRPr="00F44003">
        <w:rPr>
          <w:rFonts w:ascii="仿宋_GB2312" w:eastAsia="仿宋_GB2312" w:hAnsi="Times New Roman" w:hint="eastAsia"/>
          <w:sz w:val="32"/>
          <w:szCs w:val="24"/>
        </w:rPr>
        <w:t>mm</w:t>
      </w:r>
      <w:r w:rsidR="00A42F18" w:rsidRPr="00F44003">
        <w:rPr>
          <w:rFonts w:ascii="仿宋_GB2312" w:eastAsia="仿宋_GB2312" w:hAnsi="Times New Roman" w:hint="eastAsia"/>
          <w:sz w:val="32"/>
          <w:szCs w:val="24"/>
        </w:rPr>
        <w:t>），</w:t>
      </w:r>
      <w:bookmarkEnd w:id="1"/>
      <w:r w:rsidR="00D70D70" w:rsidRPr="00F44003">
        <w:rPr>
          <w:rFonts w:ascii="仿宋_GB2312" w:eastAsia="仿宋_GB2312" w:hAnsi="Times New Roman" w:hint="eastAsia"/>
          <w:sz w:val="32"/>
          <w:szCs w:val="24"/>
        </w:rPr>
        <w:t>它由初始时刻的水凝物量（</w:t>
      </w:r>
      <w:r w:rsidR="00D70D70" w:rsidRPr="00F44003">
        <w:rPr>
          <w:rFonts w:ascii="仿宋_GB2312" w:eastAsia="仿宋_GB2312" w:hAnsi="Times New Roman" w:hint="eastAsia"/>
          <w:i/>
          <w:iCs/>
          <w:sz w:val="32"/>
          <w:szCs w:val="24"/>
        </w:rPr>
        <w:t>M</w:t>
      </w:r>
      <w:r w:rsidR="00D70D70" w:rsidRPr="00F44003">
        <w:rPr>
          <w:rFonts w:ascii="仿宋_GB2312" w:eastAsia="仿宋_GB2312" w:hAnsi="Times New Roman" w:hint="eastAsia"/>
          <w:sz w:val="32"/>
          <w:szCs w:val="24"/>
          <w:vertAlign w:val="subscript"/>
        </w:rPr>
        <w:t>h1</w:t>
      </w:r>
      <w:bookmarkStart w:id="3" w:name="OLE_LINK17"/>
      <w:r w:rsidR="00D70D70" w:rsidRPr="00F44003">
        <w:rPr>
          <w:rFonts w:ascii="仿宋_GB2312" w:eastAsia="仿宋_GB2312" w:hAnsi="Times New Roman" w:hint="eastAsia"/>
          <w:sz w:val="32"/>
          <w:szCs w:val="24"/>
        </w:rPr>
        <w:t>，单位：kg或mm</w:t>
      </w:r>
      <w:bookmarkEnd w:id="3"/>
      <w:r w:rsidR="00D70D70" w:rsidRPr="00F44003">
        <w:rPr>
          <w:rFonts w:ascii="仿宋_GB2312" w:eastAsia="仿宋_GB2312" w:hAnsi="Times New Roman" w:hint="eastAsia"/>
          <w:sz w:val="32"/>
          <w:szCs w:val="24"/>
        </w:rPr>
        <w:t>）、研究时段内经区域边界流入的水凝物量（</w:t>
      </w:r>
      <w:proofErr w:type="spellStart"/>
      <w:r w:rsidR="00D70D70" w:rsidRPr="00F44003">
        <w:rPr>
          <w:rFonts w:ascii="仿宋_GB2312" w:eastAsia="仿宋_GB2312" w:hAnsi="Times New Roman" w:hint="eastAsia"/>
          <w:i/>
          <w:iCs/>
          <w:sz w:val="32"/>
          <w:szCs w:val="24"/>
        </w:rPr>
        <w:t>Q</w:t>
      </w:r>
      <w:r w:rsidR="00D70D70" w:rsidRPr="00F44003">
        <w:rPr>
          <w:rFonts w:ascii="仿宋_GB2312" w:eastAsia="仿宋_GB2312" w:hAnsi="Times New Roman" w:hint="eastAsia"/>
          <w:sz w:val="32"/>
          <w:szCs w:val="24"/>
          <w:vertAlign w:val="subscript"/>
        </w:rPr>
        <w:t>hi</w:t>
      </w:r>
      <w:proofErr w:type="spellEnd"/>
      <w:r w:rsidR="00D70D70" w:rsidRPr="00F44003">
        <w:rPr>
          <w:rFonts w:ascii="仿宋_GB2312" w:eastAsia="仿宋_GB2312" w:hAnsi="Times New Roman" w:hint="eastAsia"/>
          <w:sz w:val="32"/>
          <w:szCs w:val="24"/>
        </w:rPr>
        <w:t>，单位：kg或mm）和研究时段内区域中水汽凝结（凝华）形成的水凝物（</w:t>
      </w:r>
      <w:proofErr w:type="spellStart"/>
      <w:r w:rsidR="00D70D70" w:rsidRPr="00F44003">
        <w:rPr>
          <w:rFonts w:ascii="仿宋_GB2312" w:eastAsia="仿宋_GB2312" w:hAnsi="Times New Roman" w:hint="eastAsia"/>
          <w:i/>
          <w:iCs/>
          <w:sz w:val="32"/>
          <w:szCs w:val="24"/>
        </w:rPr>
        <w:t>C</w:t>
      </w:r>
      <w:r w:rsidR="00D70D70" w:rsidRPr="00F44003">
        <w:rPr>
          <w:rFonts w:ascii="仿宋_GB2312" w:eastAsia="仿宋_GB2312" w:hAnsi="Times New Roman" w:hint="eastAsia"/>
          <w:sz w:val="32"/>
          <w:szCs w:val="24"/>
          <w:vertAlign w:val="subscript"/>
        </w:rPr>
        <w:t>vh</w:t>
      </w:r>
      <w:proofErr w:type="spellEnd"/>
      <w:r w:rsidR="00D70D70" w:rsidRPr="00F44003">
        <w:rPr>
          <w:rFonts w:ascii="仿宋_GB2312" w:eastAsia="仿宋_GB2312" w:hAnsi="Times New Roman" w:hint="eastAsia"/>
          <w:sz w:val="32"/>
          <w:szCs w:val="24"/>
        </w:rPr>
        <w:t>，单位：kg或mm）三部分组成。</w:t>
      </w:r>
      <w:r w:rsidR="00A42F18" w:rsidRPr="00F44003">
        <w:rPr>
          <w:rFonts w:ascii="仿宋_GB2312" w:eastAsia="仿宋_GB2312" w:hAnsi="Times New Roman" w:hint="eastAsia"/>
          <w:sz w:val="32"/>
          <w:szCs w:val="24"/>
        </w:rPr>
        <w:t>其中一部分水凝物通过云降水过程降落到地表</w:t>
      </w:r>
      <w:r w:rsidR="00D70D70" w:rsidRPr="00F44003">
        <w:rPr>
          <w:rFonts w:ascii="仿宋_GB2312" w:eastAsia="仿宋_GB2312" w:hAnsi="Times New Roman" w:hint="eastAsia"/>
          <w:sz w:val="32"/>
          <w:szCs w:val="24"/>
        </w:rPr>
        <w:t>形成降水（</w:t>
      </w:r>
      <w:r w:rsidR="00D70D70" w:rsidRPr="00F44003">
        <w:rPr>
          <w:rFonts w:ascii="仿宋_GB2312" w:eastAsia="仿宋_GB2312" w:hAnsi="Times New Roman" w:hint="eastAsia"/>
          <w:i/>
          <w:iCs/>
          <w:sz w:val="32"/>
          <w:szCs w:val="24"/>
        </w:rPr>
        <w:t>P</w:t>
      </w:r>
      <w:r w:rsidR="00D70D70" w:rsidRPr="00F44003">
        <w:rPr>
          <w:rFonts w:ascii="仿宋_GB2312" w:eastAsia="仿宋_GB2312" w:hAnsi="Times New Roman" w:hint="eastAsia"/>
          <w:sz w:val="32"/>
          <w:szCs w:val="24"/>
          <w:vertAlign w:val="subscript"/>
        </w:rPr>
        <w:t>s</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，降水与水凝物总量的比值称为水凝物降水效率（PE</w:t>
      </w:r>
      <w:r w:rsidR="00A42F18" w:rsidRPr="00F44003">
        <w:rPr>
          <w:rFonts w:ascii="仿宋_GB2312" w:eastAsia="仿宋_GB2312" w:hAnsi="Times New Roman" w:hint="eastAsia"/>
          <w:sz w:val="32"/>
          <w:szCs w:val="24"/>
          <w:vertAlign w:val="subscript"/>
        </w:rPr>
        <w:t>h</w:t>
      </w:r>
      <w:bookmarkStart w:id="4" w:name="OLE_LINK2"/>
      <w:r w:rsidR="00D70D70"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w:t>
      </w:r>
      <w:bookmarkEnd w:id="4"/>
      <w:r w:rsidR="00A42F18" w:rsidRPr="00F44003">
        <w:rPr>
          <w:rFonts w:ascii="仿宋_GB2312" w:eastAsia="仿宋_GB2312" w:hAnsi="Times New Roman" w:hint="eastAsia"/>
          <w:sz w:val="32"/>
          <w:szCs w:val="24"/>
        </w:rPr>
        <w:t>；</w:t>
      </w:r>
      <w:r w:rsidRPr="00F44003">
        <w:rPr>
          <w:rFonts w:ascii="仿宋_GB2312" w:eastAsia="仿宋_GB2312" w:hAnsi="Times New Roman" w:hint="eastAsia"/>
          <w:sz w:val="32"/>
          <w:szCs w:val="24"/>
        </w:rPr>
        <w:t>留在空中</w:t>
      </w:r>
      <w:r w:rsidR="00A42F18" w:rsidRPr="00F44003">
        <w:rPr>
          <w:rFonts w:ascii="仿宋_GB2312" w:eastAsia="仿宋_GB2312" w:hAnsi="Times New Roman" w:hint="eastAsia"/>
          <w:sz w:val="32"/>
          <w:szCs w:val="24"/>
        </w:rPr>
        <w:t>的那部分</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称为云水资源（CWR</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），可能通过人工增雨（雪）等技术手段加以开发利用</w:t>
      </w:r>
      <w:r w:rsidRPr="00F44003">
        <w:rPr>
          <w:rFonts w:ascii="仿宋_GB2312" w:eastAsia="仿宋_GB2312" w:hAnsi="Times New Roman" w:hint="eastAsia"/>
          <w:sz w:val="32"/>
          <w:szCs w:val="24"/>
        </w:rPr>
        <w:t>。</w:t>
      </w:r>
    </w:p>
    <w:p w14:paraId="4E954C3D" w14:textId="396BD00F" w:rsidR="00CA7A45" w:rsidRPr="00F44003" w:rsidRDefault="00A42F18"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评估区域和时段内，水汽和水凝物平均状态量与</w:t>
      </w:r>
      <w:r w:rsidR="008D1215" w:rsidRPr="00F44003">
        <w:rPr>
          <w:rFonts w:ascii="仿宋_GB2312" w:eastAsia="仿宋_GB2312" w:hAnsi="Times New Roman" w:hint="eastAsia"/>
          <w:sz w:val="32"/>
          <w:szCs w:val="24"/>
        </w:rPr>
        <w:t>平均降水强度的比值</w:t>
      </w:r>
      <w:r w:rsidRPr="00F44003">
        <w:rPr>
          <w:rFonts w:ascii="仿宋_GB2312" w:eastAsia="仿宋_GB2312" w:hAnsi="Times New Roman" w:hint="eastAsia"/>
          <w:sz w:val="32"/>
          <w:szCs w:val="24"/>
        </w:rPr>
        <w:t>分别定义为水汽更新期（</w:t>
      </w:r>
      <w:proofErr w:type="spellStart"/>
      <w:r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v</w:t>
      </w:r>
      <w:proofErr w:type="spellEnd"/>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day</w:t>
      </w:r>
      <w:r w:rsidRPr="00F44003">
        <w:rPr>
          <w:rFonts w:ascii="仿宋_GB2312" w:eastAsia="仿宋_GB2312" w:hAnsi="Times New Roman" w:hint="eastAsia"/>
          <w:sz w:val="32"/>
          <w:szCs w:val="24"/>
        </w:rPr>
        <w:t>）和水</w:t>
      </w:r>
      <w:r w:rsidRPr="00F44003">
        <w:rPr>
          <w:rFonts w:ascii="仿宋_GB2312" w:eastAsia="仿宋_GB2312" w:hAnsi="Times New Roman" w:hint="eastAsia"/>
          <w:sz w:val="32"/>
          <w:szCs w:val="24"/>
        </w:rPr>
        <w:lastRenderedPageBreak/>
        <w:t>凝物</w:t>
      </w:r>
      <w:r w:rsidR="008D1215" w:rsidRPr="00F44003">
        <w:rPr>
          <w:rFonts w:ascii="仿宋_GB2312" w:eastAsia="仿宋_GB2312" w:hAnsi="Times New Roman" w:hint="eastAsia"/>
          <w:sz w:val="32"/>
          <w:szCs w:val="24"/>
        </w:rPr>
        <w:t>更新期</w:t>
      </w:r>
      <w:r w:rsidRPr="00F44003">
        <w:rPr>
          <w:rFonts w:ascii="仿宋_GB2312" w:eastAsia="仿宋_GB2312" w:hAnsi="Times New Roman" w:hint="eastAsia"/>
          <w:sz w:val="32"/>
          <w:szCs w:val="24"/>
        </w:rPr>
        <w:t>（</w:t>
      </w:r>
      <w:proofErr w:type="spellStart"/>
      <w:r w:rsidR="008D1215"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h</w:t>
      </w:r>
      <w:proofErr w:type="spellEnd"/>
      <w:r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hour</w:t>
      </w:r>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w:t>
      </w:r>
    </w:p>
    <w:p w14:paraId="1DBBEAD4" w14:textId="62206762"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5" w:name="OLE_LINK21"/>
      <w:r w:rsidRPr="00F44003">
        <w:rPr>
          <w:rFonts w:ascii="仿宋_GB2312" w:eastAsia="仿宋_GB2312" w:hAnsi="Times New Roman" w:hint="eastAsia"/>
          <w:b/>
          <w:bCs/>
          <w:sz w:val="32"/>
          <w:szCs w:val="24"/>
        </w:rPr>
        <w:t>1</w:t>
      </w:r>
      <w:r w:rsidRPr="00F44003">
        <w:rPr>
          <w:rFonts w:ascii="仿宋_GB2312" w:eastAsia="仿宋_GB2312" w:hAnsi="Times New Roman"/>
          <w:b/>
          <w:bCs/>
          <w:sz w:val="32"/>
          <w:szCs w:val="24"/>
        </w:rPr>
        <w:t>.2</w:t>
      </w:r>
      <w:r w:rsidRPr="00F44003">
        <w:rPr>
          <w:rFonts w:ascii="仿宋_GB2312" w:eastAsia="仿宋_GB2312" w:hAnsi="Times New Roman" w:hint="eastAsia"/>
          <w:b/>
          <w:bCs/>
          <w:sz w:val="32"/>
          <w:szCs w:val="24"/>
        </w:rPr>
        <w:t>数据来源</w:t>
      </w:r>
    </w:p>
    <w:bookmarkEnd w:id="5"/>
    <w:p w14:paraId="00D2D06D" w14:textId="428EC6FA" w:rsidR="00BF342B" w:rsidRPr="00F44003"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内蒙古中西部七盟市研究区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1.3评估区域和时段</w:t>
      </w:r>
    </w:p>
    <w:p w14:paraId="61B8CDE6" w14:textId="7365E24A" w:rsidR="00BF342B" w:rsidRPr="00F44003"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评估区域包含内蒙古中西部七盟市研究区地区,并参考Cai et al.(2022)提出的区域边界处理方法，对研究区域进行网格化处理，确定研究区域所在外边界，如图1所示。评估时段为2000-2025年近26年。</w:t>
      </w:r>
    </w:p>
    <w:p w14:paraId="74C55637" w14:textId="5E0E91E3" w:rsidR="00CA7A45" w:rsidRPr="00F44003"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00000" cy="1376129"/>
            <wp:docPr id="1" name="Picture 1"/>
            <wp:cNvGraphicFramePr>
              <a:graphicFrameLocks noChangeAspect="1"/>
            </wp:cNvGraphicFramePr>
            <a:graphic>
              <a:graphicData uri="http://schemas.openxmlformats.org/drawingml/2006/picture">
                <pic:pic>
                  <pic:nvPicPr>
                    <pic:cNvPr id="0" name="nmg-zxb.png"/>
                    <pic:cNvPicPr/>
                  </pic:nvPicPr>
                  <pic:blipFill>
                    <a:blip r:embed="rId10"/>
                    <a:stretch>
                      <a:fillRect/>
                    </a:stretch>
                  </pic:blipFill>
                  <pic:spPr>
                    <a:xfrm>
                      <a:off x="0" y="0"/>
                      <a:ext cx="3600000" cy="1376129"/>
                    </a:xfrm>
                    <a:prstGeom prst="rect"/>
                  </pic:spPr>
                </pic:pic>
              </a:graphicData>
            </a:graphic>
          </wp:inline>
        </w:drawing>
      </w:r>
    </w:p>
    <w:p w14:paraId="51896F85" w14:textId="77777777" w:rsidR="00CA7A45" w:rsidRPr="00F44003"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2.1区域整体</w:t>
      </w:r>
      <w:r w:rsidR="008D1215" w:rsidRPr="00F44003">
        <w:rPr>
          <w:rFonts w:ascii="仿宋_GB2312" w:eastAsia="仿宋_GB2312" w:hAnsi="Times New Roman" w:hint="eastAsia"/>
          <w:b/>
          <w:bCs/>
          <w:sz w:val="32"/>
          <w:szCs w:val="24"/>
        </w:rPr>
        <w:t>特征</w:t>
      </w:r>
    </w:p>
    <w:p w14:paraId="29371265" w14:textId="52CF3F36" w:rsidR="008F5EDB" w:rsidRPr="00F44003" w:rsidRDefault="008F5EDB" w:rsidP="0071752E">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（1）</w:t>
      </w:r>
      <w:r w:rsidR="000C0A2A"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年评估结果</w:t>
      </w:r>
    </w:p>
    <w:p w14:paraId="2E540D1E" w14:textId="4DB11915" w:rsidR="00CA7A45" w:rsidRPr="00F44003" w:rsidRDefault="00433318"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2000-2025年内蒙古中西部七盟市研究区地区的云水资源多年平均评估结果表明：内蒙古中西部七盟市研究区地区的水汽总量（GMv）的年平均总量约37104.0亿吨（折合水深约7614.9mm），其中2.9%凝结成云。大气水凝物总量（GMh）的年平均总量约2699.9亿吨（约554.1mm），地面降水（Ps）年平均总量约1082.7亿吨（约222.2mm），云水资源（CWR）年平均总量约1617.2亿吨（约331.9mm）。</w:t>
      </w:r>
    </w:p>
    <w:p w14:paraId="6987F410" w14:textId="49D68C61" w:rsidR="00CA7A45" w:rsidRPr="00F44003"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内蒙古中西部七盟市研究区地区大气水物质总体更新长，降水效率低。其中，大气水凝物降水效率多年平均值（PEh）约40.1%；水汽和大气水凝物的更新期（RTv和RTh）分别约16.0天和9.2小时。</w:t>
      </w:r>
    </w:p>
    <w:p w14:paraId="1FAB048C" w14:textId="77777777" w:rsidR="00C66901" w:rsidRPr="00F44003"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F44003">
        <w:rPr>
          <w:rFonts w:ascii="仿宋_GB2312" w:eastAsia="仿宋_GB2312" w:hAnsi="Times New Roman" w:hint="eastAsia"/>
          <w:b/>
          <w:bCs/>
          <w:sz w:val="32"/>
          <w:szCs w:val="24"/>
        </w:rPr>
        <w:t>（</w:t>
      </w:r>
      <w:r w:rsidR="004863C6" w:rsidRPr="00F44003">
        <w:rPr>
          <w:rFonts w:ascii="仿宋_GB2312" w:eastAsia="仿宋_GB2312" w:hAnsi="Times New Roman" w:hint="eastAsia"/>
          <w:b/>
          <w:bCs/>
          <w:sz w:val="32"/>
          <w:szCs w:val="24"/>
        </w:rPr>
        <w:t>2</w:t>
      </w:r>
      <w:r w:rsidRPr="00F44003">
        <w:rPr>
          <w:rFonts w:ascii="仿宋_GB2312" w:eastAsia="仿宋_GB2312" w:hAnsi="Times New Roman" w:hint="eastAsia"/>
          <w:b/>
          <w:bCs/>
          <w:sz w:val="32"/>
          <w:szCs w:val="24"/>
        </w:rPr>
        <w:t>）</w:t>
      </w:r>
      <w:r w:rsidR="00C66901" w:rsidRPr="00F44003">
        <w:rPr>
          <w:rFonts w:ascii="仿宋_GB2312" w:eastAsia="仿宋_GB2312" w:hAnsi="Times New Roman" w:hint="eastAsia"/>
          <w:b/>
          <w:bCs/>
          <w:sz w:val="32"/>
          <w:szCs w:val="24"/>
        </w:rPr>
        <w:t>大气水分平流输送特征</w:t>
      </w:r>
    </w:p>
    <w:bookmarkEnd w:id="9"/>
    <w:p w14:paraId="384637FF" w14:textId="79FC0A7B" w:rsidR="000C4D45" w:rsidRPr="00F44003"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内蒙古中西部七盟市研究区地区水汽和云水的平流输送结果列于表1和表2。</w:t>
      </w:r>
    </w:p>
    <w:p w14:paraId="7EDA3690" w14:textId="6CA00EE5" w:rsidR="00C66901" w:rsidRPr="00F44003"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地区的水汽输入主要来源于西边界边界（年输入量约14139.0亿吨，占水汽输入总量的39.7%），水汽主要从东边界输出（年输出量约15842.8亿吨，占水汽输出总量的44.3%）。整体来看，西边界、北边界为水汽净输入，全年净输入量约11817.0、3190.0亿吨，东边界、南边界为水汽净输出。</w:t>
      </w:r>
    </w:p>
    <w:p w14:paraId="14E0AEE1" w14:textId="692D1FC5" w:rsidR="00C66901" w:rsidRPr="00F44003"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内蒙古中西部七盟市研究区地区各边界水汽平流输送年平均总量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14139.0</w:t>
            </w:r>
          </w:p>
        </w:tc>
        <w:tc>
          <w:tcPr>
            <w:tcW w:type="dxa" w:w="2076"/>
            <w:vAlign w:val="center"/>
            <w:tcBorders>
              <w:top w:val="nil"/>
              <w:left w:val="nil"/>
              <w:bottom w:val="nil"/>
              <w:right w:val="nil"/>
            </w:tcBorders>
          </w:tcPr>
          <w:p>
            <w:pPr>
              <w:jc w:val="center"/>
            </w:pPr>
            <w:r>
              <w:rPr>
                <w:rFonts w:ascii="仿宋_GB2312" w:hAnsi="仿宋_GB2312" w:eastAsia="仿宋_GB2312"/>
                <w:sz w:val="28"/>
              </w:rPr>
              <w:t>2322.0</w:t>
            </w:r>
          </w:p>
        </w:tc>
        <w:tc>
          <w:tcPr>
            <w:tcW w:type="dxa" w:w="2076"/>
            <w:vAlign w:val="center"/>
            <w:tcBorders>
              <w:top w:val="nil"/>
              <w:left w:val="nil"/>
              <w:bottom w:val="nil"/>
              <w:right w:val="nil"/>
            </w:tcBorders>
          </w:tcPr>
          <w:p>
            <w:pPr>
              <w:jc w:val="center"/>
            </w:pPr>
            <w:r>
              <w:rPr>
                <w:rFonts w:ascii="仿宋_GB2312" w:hAnsi="仿宋_GB2312" w:eastAsia="仿宋_GB2312"/>
                <w:sz w:val="28"/>
              </w:rPr>
              <w:t>11817.0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1676.4</w:t>
            </w:r>
          </w:p>
        </w:tc>
        <w:tc>
          <w:tcPr>
            <w:tcW w:type="dxa" w:w="2076"/>
            <w:vAlign w:val="center"/>
            <w:tcBorders>
              <w:top w:val="nil"/>
              <w:left w:val="nil"/>
              <w:bottom w:val="nil"/>
              <w:right w:val="nil"/>
            </w:tcBorders>
          </w:tcPr>
          <w:p>
            <w:pPr>
              <w:jc w:val="center"/>
            </w:pPr>
            <w:r>
              <w:rPr>
                <w:rFonts w:ascii="仿宋_GB2312" w:hAnsi="仿宋_GB2312" w:eastAsia="仿宋_GB2312"/>
                <w:sz w:val="28"/>
              </w:rPr>
              <w:t>15842.8</w:t>
            </w:r>
          </w:p>
        </w:tc>
        <w:tc>
          <w:tcPr>
            <w:tcW w:type="dxa" w:w="2076"/>
            <w:vAlign w:val="center"/>
            <w:tcBorders>
              <w:top w:val="nil"/>
              <w:left w:val="nil"/>
              <w:bottom w:val="nil"/>
              <w:right w:val="nil"/>
            </w:tcBorders>
          </w:tcPr>
          <w:p>
            <w:pPr>
              <w:jc w:val="center"/>
            </w:pPr>
            <w:r>
              <w:rPr>
                <w:rFonts w:ascii="仿宋_GB2312" w:hAnsi="仿宋_GB2312" w:eastAsia="仿宋_GB2312"/>
                <w:sz w:val="28"/>
              </w:rPr>
              <w:t>-14166.4</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9685.0</w:t>
            </w:r>
          </w:p>
        </w:tc>
        <w:tc>
          <w:tcPr>
            <w:tcW w:type="dxa" w:w="2076"/>
            <w:vAlign w:val="center"/>
            <w:tcBorders>
              <w:top w:val="nil"/>
              <w:left w:val="nil"/>
              <w:bottom w:val="nil"/>
              <w:right w:val="nil"/>
            </w:tcBorders>
          </w:tcPr>
          <w:p>
            <w:pPr>
              <w:jc w:val="center"/>
            </w:pPr>
            <w:r>
              <w:rPr>
                <w:rFonts w:ascii="仿宋_GB2312" w:hAnsi="仿宋_GB2312" w:eastAsia="仿宋_GB2312"/>
                <w:sz w:val="28"/>
              </w:rPr>
              <w:t>10668.1</w:t>
            </w:r>
          </w:p>
        </w:tc>
        <w:tc>
          <w:tcPr>
            <w:tcW w:type="dxa" w:w="2076"/>
            <w:vAlign w:val="center"/>
            <w:tcBorders>
              <w:top w:val="nil"/>
              <w:left w:val="nil"/>
              <w:bottom w:val="nil"/>
              <w:right w:val="nil"/>
            </w:tcBorders>
          </w:tcPr>
          <w:p>
            <w:pPr>
              <w:jc w:val="center"/>
            </w:pPr>
            <w:r>
              <w:rPr>
                <w:rFonts w:ascii="仿宋_GB2312" w:hAnsi="仿宋_GB2312" w:eastAsia="仿宋_GB2312"/>
                <w:sz w:val="28"/>
              </w:rPr>
              <w:t>-983.1</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10124.5</w:t>
            </w:r>
          </w:p>
        </w:tc>
        <w:tc>
          <w:tcPr>
            <w:tcW w:type="dxa" w:w="2076"/>
            <w:vAlign w:val="center"/>
            <w:tcBorders>
              <w:top w:val="nil"/>
              <w:left w:val="nil"/>
              <w:bottom w:val="nil"/>
              <w:right w:val="nil"/>
            </w:tcBorders>
          </w:tcPr>
          <w:p>
            <w:pPr>
              <w:jc w:val="center"/>
            </w:pPr>
            <w:r>
              <w:rPr>
                <w:rFonts w:ascii="仿宋_GB2312" w:hAnsi="仿宋_GB2312" w:eastAsia="仿宋_GB2312"/>
                <w:sz w:val="28"/>
              </w:rPr>
              <w:t>6934.1</w:t>
            </w:r>
          </w:p>
        </w:tc>
        <w:tc>
          <w:tcPr>
            <w:tcW w:type="dxa" w:w="2076"/>
            <w:vAlign w:val="center"/>
            <w:tcBorders>
              <w:top w:val="nil"/>
              <w:left w:val="nil"/>
              <w:bottom w:val="nil"/>
              <w:right w:val="nil"/>
            </w:tcBorders>
          </w:tcPr>
          <w:p>
            <w:pPr>
              <w:jc w:val="center"/>
            </w:pPr>
            <w:r>
              <w:rPr>
                <w:rFonts w:ascii="仿宋_GB2312" w:hAnsi="仿宋_GB2312" w:eastAsia="仿宋_GB2312"/>
                <w:sz w:val="28"/>
              </w:rPr>
              <w:t>3190.4</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35624.9</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35767.0</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-142.1</w:t>
            </w:r>
          </w:p>
        </w:tc>
      </w:tr>
    </w:tbl>
    <w:p w14:paraId="4755FC12" w14:textId="08A40F72" w:rsidR="000C4D45" w:rsidRPr="00F44003"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西边界（年输入量约746.1亿吨，占云水输入总量的54.2%）流入区域，从东边界（占云水输出总量的59.7%）流出区域。整体来看，云水的平流量比水汽低1个量级，西边界、南边界、北边界为云水净输入，全年净输入量分别为728.2、75.0、23.4亿吨，东边界为云水净输出。</w:t>
      </w:r>
    </w:p>
    <w:p w14:paraId="38E535A3" w14:textId="403B4B0D" w:rsidR="004C2E67" w:rsidRPr="00F44003"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内蒙古中西部七盟市研究区地区各边界水凝物平流输送年平均总量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746.1</w:t>
            </w:r>
          </w:p>
        </w:tc>
        <w:tc>
          <w:tcPr>
            <w:tcW w:type="dxa" w:w="2076"/>
            <w:vAlign w:val="center"/>
            <w:tcBorders>
              <w:top w:val="nil"/>
              <w:left w:val="nil"/>
              <w:bottom w:val="nil"/>
              <w:right w:val="nil"/>
            </w:tcBorders>
          </w:tcPr>
          <w:p>
            <w:pPr>
              <w:jc w:val="center"/>
            </w:pPr>
            <w:r>
              <w:rPr>
                <w:rFonts w:ascii="仿宋_GB2312" w:hAnsi="仿宋_GB2312" w:eastAsia="仿宋_GB2312"/>
                <w:sz w:val="28"/>
              </w:rPr>
              <w:t>17.9</w:t>
            </w:r>
          </w:p>
        </w:tc>
        <w:tc>
          <w:tcPr>
            <w:tcW w:type="dxa" w:w="2076"/>
            <w:vAlign w:val="center"/>
            <w:tcBorders>
              <w:top w:val="nil"/>
              <w:left w:val="nil"/>
              <w:bottom w:val="nil"/>
              <w:right w:val="nil"/>
            </w:tcBorders>
          </w:tcPr>
          <w:p>
            <w:pPr>
              <w:jc w:val="center"/>
            </w:pPr>
            <w:r>
              <w:rPr>
                <w:rFonts w:ascii="仿宋_GB2312" w:hAnsi="仿宋_GB2312" w:eastAsia="仿宋_GB2312"/>
                <w:sz w:val="28"/>
              </w:rPr>
              <w:t>728.2</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19.9</w:t>
            </w:r>
          </w:p>
        </w:tc>
        <w:tc>
          <w:tcPr>
            <w:tcW w:type="dxa" w:w="2076"/>
            <w:vAlign w:val="center"/>
            <w:tcBorders>
              <w:top w:val="nil"/>
              <w:left w:val="nil"/>
              <w:bottom w:val="nil"/>
              <w:right w:val="nil"/>
            </w:tcBorders>
          </w:tcPr>
          <w:p>
            <w:pPr>
              <w:jc w:val="center"/>
            </w:pPr>
            <w:r>
              <w:rPr>
                <w:rFonts w:ascii="仿宋_GB2312" w:hAnsi="仿宋_GB2312" w:eastAsia="仿宋_GB2312"/>
                <w:sz w:val="28"/>
              </w:rPr>
              <w:t>783.2</w:t>
            </w:r>
          </w:p>
        </w:tc>
        <w:tc>
          <w:tcPr>
            <w:tcW w:type="dxa" w:w="2076"/>
            <w:vAlign w:val="center"/>
            <w:tcBorders>
              <w:top w:val="nil"/>
              <w:left w:val="nil"/>
              <w:bottom w:val="nil"/>
              <w:right w:val="nil"/>
            </w:tcBorders>
          </w:tcPr>
          <w:p>
            <w:pPr>
              <w:jc w:val="center"/>
            </w:pPr>
            <w:r>
              <w:rPr>
                <w:rFonts w:ascii="仿宋_GB2312" w:hAnsi="仿宋_GB2312" w:eastAsia="仿宋_GB2312"/>
                <w:sz w:val="28"/>
              </w:rPr>
              <w:t>-763.3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338.4</w:t>
            </w:r>
          </w:p>
        </w:tc>
        <w:tc>
          <w:tcPr>
            <w:tcW w:type="dxa" w:w="2076"/>
            <w:vAlign w:val="center"/>
            <w:tcBorders>
              <w:top w:val="nil"/>
              <w:left w:val="nil"/>
              <w:bottom w:val="nil"/>
              <w:right w:val="nil"/>
            </w:tcBorders>
          </w:tcPr>
          <w:p>
            <w:pPr>
              <w:jc w:val="center"/>
            </w:pPr>
            <w:r>
              <w:rPr>
                <w:rFonts w:ascii="仿宋_GB2312" w:hAnsi="仿宋_GB2312" w:eastAsia="仿宋_GB2312"/>
                <w:sz w:val="28"/>
              </w:rPr>
              <w:t>263.4</w:t>
            </w:r>
          </w:p>
        </w:tc>
        <w:tc>
          <w:tcPr>
            <w:tcW w:type="dxa" w:w="2076"/>
            <w:vAlign w:val="center"/>
            <w:tcBorders>
              <w:top w:val="nil"/>
              <w:left w:val="nil"/>
              <w:bottom w:val="nil"/>
              <w:right w:val="nil"/>
            </w:tcBorders>
          </w:tcPr>
          <w:p>
            <w:pPr>
              <w:jc w:val="center"/>
            </w:pPr>
            <w:r>
              <w:rPr>
                <w:rFonts w:ascii="仿宋_GB2312" w:hAnsi="仿宋_GB2312" w:eastAsia="仿宋_GB2312"/>
                <w:sz w:val="28"/>
              </w:rPr>
              <w:t>75.0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271.5</w:t>
            </w:r>
          </w:p>
        </w:tc>
        <w:tc>
          <w:tcPr>
            <w:tcW w:type="dxa" w:w="2076"/>
            <w:vAlign w:val="center"/>
            <w:tcBorders>
              <w:top w:val="nil"/>
              <w:left w:val="nil"/>
              <w:bottom w:val="nil"/>
              <w:right w:val="nil"/>
            </w:tcBorders>
          </w:tcPr>
          <w:p>
            <w:pPr>
              <w:jc w:val="center"/>
            </w:pPr>
            <w:r>
              <w:rPr>
                <w:rFonts w:ascii="仿宋_GB2312" w:hAnsi="仿宋_GB2312" w:eastAsia="仿宋_GB2312"/>
                <w:sz w:val="28"/>
              </w:rPr>
              <w:t>248.1</w:t>
            </w:r>
          </w:p>
        </w:tc>
        <w:tc>
          <w:tcPr>
            <w:tcW w:type="dxa" w:w="2076"/>
            <w:vAlign w:val="center"/>
            <w:tcBorders>
              <w:top w:val="nil"/>
              <w:left w:val="nil"/>
              <w:bottom w:val="nil"/>
              <w:right w:val="nil"/>
            </w:tcBorders>
          </w:tcPr>
          <w:p>
            <w:pPr>
              <w:jc w:val="center"/>
            </w:pPr>
            <w:r>
              <w:rPr>
                <w:rFonts w:ascii="仿宋_GB2312" w:hAnsi="仿宋_GB2312" w:eastAsia="仿宋_GB2312"/>
                <w:sz w:val="28"/>
              </w:rPr>
              <w:t>23.4</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1375.9</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1312.6</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63.3</w:t>
            </w:r>
          </w:p>
        </w:tc>
      </w:tr>
    </w:tbl>
    <w:p w14:paraId="5E83ABE5" w14:textId="77777777" w:rsidR="00CA7A45" w:rsidRPr="00F44003"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F44003">
        <w:rPr>
          <w:rFonts w:ascii="仿宋_GB2312" w:eastAsia="仿宋_GB2312" w:hAnsi="Times New Roman" w:hint="eastAsia"/>
          <w:b/>
          <w:bCs/>
          <w:sz w:val="32"/>
          <w:szCs w:val="24"/>
        </w:rPr>
        <w:t>（</w:t>
      </w:r>
      <w:r w:rsidR="00CA08D6" w:rsidRPr="00F44003">
        <w:rPr>
          <w:rFonts w:ascii="仿宋_GB2312" w:eastAsia="仿宋_GB2312" w:hAnsi="Times New Roman" w:hint="eastAsia"/>
          <w:b/>
          <w:bCs/>
          <w:sz w:val="32"/>
          <w:szCs w:val="24"/>
        </w:rPr>
        <w:t>3</w:t>
      </w:r>
      <w:r w:rsidRPr="00F44003">
        <w:rPr>
          <w:rFonts w:ascii="仿宋_GB2312" w:eastAsia="仿宋_GB2312" w:hAnsi="Times New Roman" w:hint="eastAsia"/>
          <w:b/>
          <w:bCs/>
          <w:sz w:val="32"/>
          <w:szCs w:val="24"/>
        </w:rPr>
        <w:t>）逐月演变特征</w:t>
      </w:r>
    </w:p>
    <w:p w14:paraId="2BDA023D" w14:textId="1233FD61" w:rsidR="000B3E81" w:rsidRPr="00F44003"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内蒙古中西部七盟市研究区地区云水资源及其特征量逐月演变。总体来说，内蒙古中西部七盟市研究区大气水凝物总量GMh和地面降水总量Ps呈现出一致的月变化特征，表现为夏季最为丰沛，秋季、春季次之，冬季最少的特点。每年1月起，二者逐月增加，直至7月达到全年最高值，随后逐月降低，直至12月。冬季的降水量仅8.7mm，夏季降水量超过100.0mm，两个季节降水量相差超过15.0倍。</w:t>
      </w:r>
    </w:p>
    <w:p w14:paraId="66B892D0" w14:textId="27C2CE32" w:rsidR="00970120" w:rsidRPr="00F44003"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内蒙古中西部七盟市研究区的云水资源月变化呈现出较为明显的单峰分布特征，7月和8月云水资源量较高，1月和2月云水资源量较低。总体上看，夏季云水资源量最为丰沛，其次为春季和秋季，冬季云水资源最少。</w:t>
      </w:r>
    </w:p>
    <w:p w14:paraId="51E51997" w14:textId="474BA792" w:rsidR="00CA7A45" w:rsidRPr="00F44003"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4320000" cy="57600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4320000" cy="5760000"/>
                    </a:xfrm>
                    <a:prstGeom prst="rect"/>
                  </pic:spPr>
                </pic:pic>
              </a:graphicData>
            </a:graphic>
          </wp:inline>
        </w:drawing>
      </w:r>
    </w:p>
    <w:p w14:paraId="56011132" w14:textId="57E7D4EC" w:rsidR="000C4D45" w:rsidRPr="00F44003" w:rsidRDefault="00882FBA"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2000-2025年内蒙古中西部七盟市研究区地区云水资源特征量逐月变化特征</w:t>
      </w:r>
    </w:p>
    <w:p w14:paraId="7CF860F5" w14:textId="3A35D5F1"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（图中，水汽总量</w:t>
      </w:r>
      <w:proofErr w:type="spellStart"/>
      <w:r w:rsidRPr="00F44003">
        <w:rPr>
          <w:rFonts w:ascii="仿宋_GB2312" w:eastAsia="仿宋_GB2312" w:hAnsi="Times New Roman" w:cs="Times New Roman" w:hint="eastAsia"/>
          <w:sz w:val="32"/>
          <w:szCs w:val="32"/>
        </w:rPr>
        <w:t>GMv</w:t>
      </w:r>
      <w:proofErr w:type="spellEnd"/>
      <w:r w:rsidRPr="00F44003">
        <w:rPr>
          <w:rFonts w:ascii="仿宋_GB2312" w:eastAsia="仿宋_GB2312" w:hAnsi="Times New Roman" w:cs="Times New Roman" w:hint="eastAsia"/>
          <w:sz w:val="32"/>
          <w:szCs w:val="32"/>
        </w:rPr>
        <w:t>、云凝结量</w:t>
      </w:r>
      <w:proofErr w:type="spellStart"/>
      <w:r w:rsidRPr="00F44003">
        <w:rPr>
          <w:rFonts w:ascii="仿宋_GB2312" w:eastAsia="仿宋_GB2312" w:hAnsi="Times New Roman" w:cs="Times New Roman" w:hint="eastAsia"/>
          <w:sz w:val="32"/>
          <w:szCs w:val="32"/>
        </w:rPr>
        <w:t>Cvh</w:t>
      </w:r>
      <w:proofErr w:type="spellEnd"/>
      <w:r w:rsidRPr="00F44003">
        <w:rPr>
          <w:rFonts w:ascii="仿宋_GB2312" w:eastAsia="仿宋_GB2312" w:hAnsi="Times New Roman" w:cs="Times New Roman" w:hint="eastAsia"/>
          <w:sz w:val="32"/>
          <w:szCs w:val="32"/>
        </w:rPr>
        <w:t>、大气水凝物总量</w:t>
      </w:r>
      <w:proofErr w:type="spellStart"/>
      <w:r w:rsidRPr="00F44003">
        <w:rPr>
          <w:rFonts w:ascii="仿宋_GB2312" w:eastAsia="仿宋_GB2312" w:hAnsi="Times New Roman" w:cs="Times New Roman" w:hint="eastAsia"/>
          <w:sz w:val="32"/>
          <w:szCs w:val="32"/>
        </w:rPr>
        <w:t>GMh</w:t>
      </w:r>
      <w:proofErr w:type="spellEnd"/>
      <w:r w:rsidRPr="00F44003">
        <w:rPr>
          <w:rFonts w:ascii="仿宋_GB2312" w:eastAsia="仿宋_GB2312" w:hAnsi="Times New Roman" w:cs="Times New Roman" w:hint="eastAsia"/>
          <w:sz w:val="32"/>
          <w:szCs w:val="32"/>
        </w:rPr>
        <w:t>、云水资源CWR和地面降水Ps的单位均为mm；水汽凝结效率CEv和水凝物降水效率PEh的单位均为%；水凝物更新期的单位为hour)</w:t>
      </w:r>
    </w:p>
    <w:p w14:paraId="5BE36E5F" w14:textId="58B80467" w:rsidR="000C0A2A" w:rsidRPr="00A272CD" w:rsidRDefault="000C0A2A" w:rsidP="00A272CD">
      <w:pPr>
        <w:spacing w:line="560" w:lineRule="exact"/>
        <w:ind w:firstLineChars="200" w:firstLine="643"/>
        <w:outlineLvl w:val="2"/>
        <w:rPr>
          <w:rFonts w:ascii="仿宋_GB2312" w:eastAsia="仿宋_GB2312" w:hAnsi="Times New Roman"/>
          <w:b/>
          <w:bCs/>
          <w:sz w:val="32"/>
          <w:szCs w:val="24"/>
        </w:rPr>
      </w:pPr>
      <w:r w:rsidRPr="00A272CD">
        <w:rPr>
          <w:rFonts w:ascii="仿宋_GB2312" w:eastAsia="仿宋_GB2312" w:hAnsi="Times New Roman" w:hint="eastAsia"/>
          <w:b/>
          <w:bCs/>
          <w:sz w:val="32"/>
          <w:szCs w:val="24"/>
        </w:rPr>
        <w:t>（4）年际变化特征</w:t>
      </w:r>
    </w:p>
    <w:p w14:paraId="4610BE5D" w14:textId="02F9EB6C"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图3给出了近26年内蒙古中西部七盟市研究区地区云水资源及其特征量逐月演变。总体来说，2000年以来，内蒙古中西部七盟市研究区的大气水凝物总量GMh在1631.4-3364.1亿吨之间（折合水深334.8-690.4mm之间）呈现出波动变化的趋势，其中，2025年水凝物总量最为丰沛，其次为2024年；2000年为水凝物总量的低值年。</w:t>
      </w:r>
    </w:p>
    <w:p w14:paraId="0B63DA0B" w14:textId="0A7DA2AF"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内蒙古中西部七盟市研究区的降水量Ps同样波动变化，数值范围介于701.3-1522.9亿吨之间（折合水深143.9-312.5mm之间）。2025年降水量最高。2005年的降水量最小，其次为2001年。</w:t>
      </w:r>
    </w:p>
    <w:p w14:paraId="45A48C25" w14:textId="0F8E015A"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内蒙古中西部七盟市研究区的云水资源量在26年间呈缓慢增加趋势。其中，云水资源的高值年份分别出现在2025和2016年，低值年份为2000和2001。</w:t>
      </w:r>
    </w:p>
    <w:p w14:paraId="1801719D" w14:textId="2932F068" w:rsidR="000A70DC" w:rsidRPr="00F44003" w:rsidRDefault="000A70DC" w:rsidP="000A70DC">
      <w:pPr>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5040000" cy="6720000"/>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5040000" cy="6720000"/>
                    </a:xfrm>
                    <a:prstGeom prst="rect"/>
                  </pic:spPr>
                </pic:pic>
              </a:graphicData>
            </a:graphic>
          </wp:inline>
        </w:drawing>
      </w:r>
    </w:p>
    <w:p w14:paraId="1262C2F0" w14:textId="491CFFF6" w:rsidR="00A6514F" w:rsidRPr="00F44003" w:rsidRDefault="00882FBA" w:rsidP="00A6514F">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2000-2025年内蒙古中西部七盟市研究区地区云水资源特征量的年际变化</w:t>
      </w:r>
    </w:p>
    <w:p w14:paraId="6EF66DAE" w14:textId="1AF6707E"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（物理含义同图2）</w:t>
      </w:r>
    </w:p>
    <w:p w14:paraId="554DF0E0" w14:textId="039C78F4"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w:t>
      </w: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空间分布特征</w:t>
      </w:r>
    </w:p>
    <w:p w14:paraId="069FD28D" w14:textId="4FC56EA3" w:rsidR="005B78B6" w:rsidRPr="00F44003"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F44003">
        <w:rPr>
          <w:rFonts w:ascii="仿宋_GB2312" w:eastAsia="仿宋_GB2312" w:hAnsi="Times New Roman" w:hint="eastAsia"/>
          <w:b/>
          <w:bCs/>
          <w:sz w:val="32"/>
          <w:szCs w:val="24"/>
        </w:rPr>
        <w:t>（1）</w:t>
      </w:r>
      <w:r w:rsidR="007B373E"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年平均空间分布</w:t>
      </w:r>
    </w:p>
    <w:bookmarkEnd w:id="17"/>
    <w:p w14:paraId="2A1E9C31" w14:textId="061C9535"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4给出了多年平均下内蒙古中西部七盟市研究区地区云水资源及其特征量的空间分布。内蒙古中西部七盟市研究区的水汽总量（图4a）区域内数值总体表现为由西向东递增，高值区主要偏向东，低值区主要偏向西。而水汽凝结效率（b）区域内数值总体表现为由西北向东南递增，高值区主要偏向东南，低值区主要偏向西北。将（c）和（d）结合可以得到云水资源的空间分布特征，该特征为区域内数值总体表现为由西北向东南递增，高值区主要偏向东南，低值区主要偏向西北。降水量（e）区域内数值总体表现为由西北向东南递增，高值区主要偏向东南，低值区主要偏向西北。水凝物降水效率（f）区域内数值总体表现为由西北向东南递增，高值区主要偏向东南，低值区主要偏向西北。</w:t>
      </w:r>
    </w:p>
    <w:p w14:paraId="735ABCF8" w14:textId="67278988"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2055606"/>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5040000" cy="2055606"/>
                    </a:xfrm>
                    <a:prstGeom prst="rect"/>
                  </pic:spPr>
                </pic:pic>
              </a:graphicData>
            </a:graphic>
          </wp:inline>
        </w:drawing>
      </w:r>
    </w:p>
    <w:p w14:paraId="7B1066A2" w14:textId="33F3B9FC" w:rsidR="00CA7A45" w:rsidRPr="00F44003" w:rsidRDefault="00882FBA"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2000-2025年内蒙古中西部七盟市研究区地区水凝物特征量多年平均空间分布（a.水汽年总量，b.水汽年凝结效率，c.云水资源年总量，d.水凝物年总量，e.年降水量,f.水凝物年降水效率）</w:t>
      </w:r>
    </w:p>
    <w:p w14:paraId="13DC834E" w14:textId="4A1675AF" w:rsidR="005B78B6" w:rsidRPr="00F44003" w:rsidRDefault="005B78B6" w:rsidP="005B78B6">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（2）不同季节空间分布</w:t>
      </w:r>
    </w:p>
    <w:p w14:paraId="4A0EE088" w14:textId="3FB29DAA" w:rsidR="00091FA1" w:rsidRPr="00F44003" w:rsidRDefault="00882FBA"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2000-2025年内蒙古中西部七盟市研究区地区的降水量和云水资源量季节分布分别列于图5和图6。</w:t>
      </w:r>
    </w:p>
    <w:p w14:paraId="6443EC99" w14:textId="33040295" w:rsidR="00091FA1" w:rsidRPr="00F44003" w:rsidRDefault="00734DC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近26年内蒙古中西部七盟市研究区的降水量四季分布如图5所示，四季整体呈现出区域内数值总体表现为由西北向东南递增，高值区主要偏向东南，低值区主要偏向西北。夏季降水量高于其他季节,夏季分布特点为区域内数值总体表现为由西向东递增，高值区主要偏向东，低值区主要偏向西。而冬季降水量低于其他季节，冬季分布特点为区域内数值总体表现为由西北向东南递增，高值区主要偏向东南，低值区主要偏向西北。</w:t>
      </w:r>
    </w:p>
    <w:p w14:paraId="6E0C8B9B" w14:textId="7EA7CABB" w:rsidR="00D50DEE"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1674247"/>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5040000" cy="1674247"/>
                    </a:xfrm>
                    <a:prstGeom prst="rect"/>
                  </pic:spPr>
                </pic:pic>
              </a:graphicData>
            </a:graphic>
          </wp:inline>
        </w:drawing>
      </w:r>
    </w:p>
    <w:p w14:paraId="11EFD5BD" w14:textId="281A6558" w:rsidR="00091FA1" w:rsidRPr="00F44003" w:rsidRDefault="00083919"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2000-2025年内蒙古中西部七盟市研究区地区降水量季节多年平均分布特征，a.春季，b.夏季，c.秋季，d.冬季</w:t>
      </w:r>
    </w:p>
    <w:p w14:paraId="3F3E4E76" w14:textId="3317060A" w:rsidR="00A1699C"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6所示，四季整体呈现出区域内数值总体表现为由西北向东南递增，高值区主要偏向东南，低值区主要偏向西北。夏季云水资源高于其他季节,夏季分布特点为区域内数值总体表现为由西北向东南递增，高值区主要偏向东南，低值区主要偏向西北。而冬季云水资源低于其他季节，冬季分布特点为区域内数值总体表现为由西北向东南递增，高值区主要偏向东南，低值区主要偏向西北。</w:t>
      </w:r>
    </w:p>
    <w:p w14:paraId="5454D736" w14:textId="7E690A85"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1884852"/>
            <wp:docPr id="6" name="Picture 6"/>
            <wp:cNvGraphicFramePr>
              <a:graphicFrameLocks noChangeAspect="1"/>
            </wp:cNvGraphicFramePr>
            <a:graphic>
              <a:graphicData uri="http://schemas.openxmlformats.org/drawingml/2006/picture">
                <pic:pic>
                  <pic:nvPicPr>
                    <pic:cNvPr id="0" name="fig_6.png"/>
                    <pic:cNvPicPr/>
                  </pic:nvPicPr>
                  <pic:blipFill>
                    <a:blip r:embed="rId15"/>
                    <a:stretch>
                      <a:fillRect/>
                    </a:stretch>
                  </pic:blipFill>
                  <pic:spPr>
                    <a:xfrm>
                      <a:off x="0" y="0"/>
                      <a:ext cx="5040000" cy="1884852"/>
                    </a:xfrm>
                    <a:prstGeom prst="rect"/>
                  </pic:spPr>
                </pic:pic>
              </a:graphicData>
            </a:graphic>
          </wp:inline>
        </w:drawing>
      </w:r>
    </w:p>
    <w:p w14:paraId="55D1245B" w14:textId="65E070BD" w:rsidR="00CA7A45" w:rsidRPr="00F44003" w:rsidRDefault="00083919">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2000-2025年内蒙古中西部七盟市研究区地区云水资源季节多年平均分布特征，a.春季，b.夏季，c.秋季，d.冬季</w:t>
      </w:r>
    </w:p>
    <w:bookmarkEnd w:id="18"/>
    <w:p w14:paraId="536CACEC" w14:textId="1D1DE654" w:rsidR="00CA7A45" w:rsidRPr="00F44003" w:rsidRDefault="008F5EDB" w:rsidP="0071752E">
      <w:pPr>
        <w:widowControl/>
        <w:jc w:val="left"/>
        <w:outlineLvl w:val="0"/>
        <w:rPr>
          <w:rFonts w:ascii="Times New Roman" w:eastAsia="黑体" w:hAnsi="Times New Roman" w:cs="Times New Roman"/>
          <w:b/>
          <w:bCs/>
          <w:sz w:val="32"/>
          <w:szCs w:val="32"/>
        </w:rPr>
      </w:pPr>
      <w:r w:rsidRPr="00F44003">
        <w:rPr>
          <w:rFonts w:ascii="Times New Roman" w:eastAsia="黑体" w:hAnsi="Times New Roman" w:cs="Times New Roman"/>
          <w:b/>
          <w:bCs/>
          <w:sz w:val="32"/>
          <w:szCs w:val="32"/>
        </w:rPr>
        <w:t>3</w:t>
      </w:r>
      <w:r w:rsidR="008D1215" w:rsidRPr="00F44003">
        <w:rPr>
          <w:rFonts w:ascii="Times New Roman" w:eastAsia="黑体" w:hAnsi="Times New Roman" w:cs="Times New Roman"/>
          <w:b/>
          <w:bCs/>
          <w:sz w:val="32"/>
          <w:szCs w:val="32"/>
        </w:rPr>
        <w:t>.</w:t>
      </w:r>
      <w:r w:rsidR="008D1215" w:rsidRPr="00F44003">
        <w:rPr>
          <w:rFonts w:ascii="Times New Roman" w:eastAsia="黑体" w:hAnsi="Times New Roman" w:cs="Times New Roman" w:hint="eastAsia"/>
          <w:b/>
          <w:bCs/>
          <w:sz w:val="32"/>
          <w:szCs w:val="32"/>
        </w:rPr>
        <w:t>总结和讨论</w:t>
      </w:r>
    </w:p>
    <w:p w14:paraId="0AC755C7" w14:textId="0A2E4329" w:rsidR="008F5EDB"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F44003">
        <w:rPr>
          <w:rFonts w:ascii="仿宋_GB2312" w:eastAsia="仿宋_GB2312" w:hAnsi="Times New Roman" w:hint="eastAsia"/>
          <w:sz w:val="32"/>
          <w:szCs w:val="32"/>
        </w:rPr>
        <w:t>3</w:t>
      </w:r>
      <w:r w:rsidR="008F5EDB"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结论</w:t>
      </w:r>
    </w:p>
    <w:bookmarkEnd w:id="19"/>
    <w:p w14:paraId="3EAA1F1D" w14:textId="0216CFE2" w:rsidR="00091FA1" w:rsidRPr="00F44003"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本研究基于中国气象局人工影响天气中心研发的云水资源气候诊断数据集（CWR1.0），定量评估了近26年内蒙古中西部七盟市研究区地区的云水资源，并分析了其特征规律，主要结论如下。</w:t>
      </w:r>
    </w:p>
    <w:p w14:paraId="5C2E61F7" w14:textId="52C0B527" w:rsidR="00091FA1" w:rsidRPr="00F44003"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多年平均评估结果：2000-2025年，内蒙古中西部七盟市研究区地区的大气水凝物（GMh）年总量约2699.9亿吨（554.1mm），地面降水（Ps）年总量约1082.7亿吨（222.2mm），云水资源（CWR）年总量约1617.2亿吨（331.9mm），大气水凝物降水效率（PEh）约40.1%，更新期约9.2小时，具有一定开发潜力。</w:t>
      </w:r>
    </w:p>
    <w:p w14:paraId="123430E5" w14:textId="76060FD3" w:rsidR="00091FA1"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（2）逐月演变特征：全年中，夏季大气水凝物总量和地面降水量最多，但云水资源在夏季最为丰沛。冬季大气水凝物总量、地面降水和云水资源均为最少。</w:t>
      </w:r>
    </w:p>
    <w:p w14:paraId="4E343893" w14:textId="776FC384" w:rsidR="00F64A6F" w:rsidRPr="00F44003" w:rsidRDefault="00FD3F60"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（3）年际变化特征：近26年，内蒙古中西部七盟市研究区的水凝物年总量以缓慢增加幅度在变化，对应年降水量在缓慢增加,云水资源年总量呈缓慢增加趋势。</w:t>
      </w:r>
    </w:p>
    <w:p w14:paraId="0B32A8DD" w14:textId="4402855B" w:rsidR="00CA7A45" w:rsidRPr="00F44003"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（4）空间分布特征：内蒙古中西部七盟市研究区地区的云水资源四季分布与全年较为一致, 区域内数值总体表现为由西北向东南递增，高值区主要偏向东南，低值区主要偏向西北。</w:t>
      </w:r>
    </w:p>
    <w:p w14:paraId="5D674E2E" w14:textId="7F42B337" w:rsidR="00091FA1" w:rsidRPr="00F44003" w:rsidRDefault="00091FA1" w:rsidP="00091FA1">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3.2讨论</w:t>
      </w:r>
    </w:p>
    <w:p w14:paraId="3184D292" w14:textId="7796ED64" w:rsidR="00CA7A45" w:rsidRPr="00F44003" w:rsidRDefault="008D1215"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关于评估结果，有以下两点值得注意：</w:t>
      </w:r>
    </w:p>
    <w:p w14:paraId="4F8EEBED" w14:textId="0EE9F0F3"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本报告采用</w:t>
      </w:r>
      <w:r w:rsidRPr="00F44003">
        <w:rPr>
          <w:rFonts w:ascii="仿宋_GB2312" w:eastAsia="仿宋_GB2312" w:hAnsi="Times New Roman" w:hint="eastAsia"/>
          <w:sz w:val="32"/>
          <w:szCs w:val="32"/>
        </w:rPr>
        <w:t>中国气象局人工影响天气中心研发的云水资源气候诊断数据集（CWR1.0）进行分析，其核心是</w:t>
      </w:r>
      <w:r w:rsidR="008D1215" w:rsidRPr="00F44003">
        <w:rPr>
          <w:rFonts w:ascii="仿宋_GB2312" w:eastAsia="仿宋_GB2312" w:hAnsi="Times New Roman" w:hint="eastAsia"/>
          <w:sz w:val="32"/>
          <w:szCs w:val="32"/>
        </w:rPr>
        <w:t>中国地区的三维云场和云水场诊断</w:t>
      </w:r>
      <w:r w:rsidRPr="00F44003">
        <w:rPr>
          <w:rFonts w:ascii="仿宋_GB2312" w:eastAsia="仿宋_GB2312" w:hAnsi="Times New Roman" w:hint="eastAsia"/>
          <w:sz w:val="32"/>
          <w:szCs w:val="32"/>
        </w:rPr>
        <w:t>结果</w:t>
      </w:r>
      <w:r w:rsidR="008D1215" w:rsidRPr="00F44003">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内蒙古中西部七盟市研究区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1242</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1255,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10.1007/s13351-020-9125-7.</w:t>
      </w:r>
    </w:p>
    <w:p w14:paraId="2475AB97"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1256</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1270,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10.1007/s13351-020-9126-6.</w:t>
      </w:r>
    </w:p>
    <w:p w14:paraId="51448D55" w14:textId="77777777" w:rsidR="00CA7A45" w:rsidRPr="00FD3F60"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FD3F60">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2019. J. Meteor. Res., 36(2), 1</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 xml:space="preserve">19, </w:t>
      </w:r>
      <w:proofErr w:type="spellStart"/>
      <w:r w:rsidRPr="00FD3F60">
        <w:rPr>
          <w:rFonts w:ascii="Times New Roman" w:eastAsia="宋体" w:hAnsi="Times New Roman" w:cs="Times New Roman" w:hint="eastAsia"/>
          <w:color w:val="000000"/>
          <w:kern w:val="0"/>
          <w:sz w:val="24"/>
          <w:szCs w:val="24"/>
        </w:rPr>
        <w:t>doi</w:t>
      </w:r>
      <w:proofErr w:type="spellEnd"/>
      <w:r w:rsidRPr="00FD3F60">
        <w:rPr>
          <w:rFonts w:ascii="Times New Roman" w:eastAsia="宋体" w:hAnsi="Times New Roman" w:cs="Times New Roman" w:hint="eastAsia"/>
          <w:color w:val="000000"/>
          <w:kern w:val="0"/>
          <w:sz w:val="24"/>
          <w:szCs w:val="24"/>
        </w:rPr>
        <w:t xml:space="preserve">: </w:t>
      </w:r>
      <w:r w:rsidRPr="00FD3F60">
        <w:rPr>
          <w:rStyle w:val="a7"/>
          <w:rFonts w:ascii="Times New Roman" w:eastAsia="宋体" w:hAnsi="Times New Roman" w:cs="Times New Roman"/>
          <w:sz w:val="24"/>
          <w:szCs w:val="28"/>
        </w:rPr>
        <w:t>10.1007/s13351-022-1111-9</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3BBD" w14:textId="77777777" w:rsidR="00206E83" w:rsidRDefault="00206E83">
      <w:pPr>
        <w:rPr>
          <w:rFonts w:hint="eastAsia"/>
        </w:rPr>
      </w:pPr>
      <w:r>
        <w:separator/>
      </w:r>
    </w:p>
  </w:endnote>
  <w:endnote w:type="continuationSeparator" w:id="0">
    <w:p w14:paraId="52C9182B" w14:textId="77777777" w:rsidR="00206E83" w:rsidRDefault="00206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7B47" w14:textId="77777777" w:rsidR="00206E83" w:rsidRDefault="00206E83">
      <w:pPr>
        <w:rPr>
          <w:rFonts w:hint="eastAsia"/>
        </w:rPr>
      </w:pPr>
      <w:r>
        <w:separator/>
      </w:r>
    </w:p>
  </w:footnote>
  <w:footnote w:type="continuationSeparator" w:id="0">
    <w:p w14:paraId="7995FBC4" w14:textId="77777777" w:rsidR="00206E83" w:rsidRDefault="00206E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1718"/>
    <w:rsid w:val="00016AEC"/>
    <w:rsid w:val="00025E6D"/>
    <w:rsid w:val="00036523"/>
    <w:rsid w:val="00050217"/>
    <w:rsid w:val="00073A44"/>
    <w:rsid w:val="00081C7C"/>
    <w:rsid w:val="00083919"/>
    <w:rsid w:val="00090251"/>
    <w:rsid w:val="00091FA1"/>
    <w:rsid w:val="000A301B"/>
    <w:rsid w:val="000A70DC"/>
    <w:rsid w:val="000B265B"/>
    <w:rsid w:val="000B3E81"/>
    <w:rsid w:val="000C0A2A"/>
    <w:rsid w:val="000C4543"/>
    <w:rsid w:val="000C4D45"/>
    <w:rsid w:val="000E37D7"/>
    <w:rsid w:val="00176EF1"/>
    <w:rsid w:val="001A498F"/>
    <w:rsid w:val="001B3597"/>
    <w:rsid w:val="001C0131"/>
    <w:rsid w:val="001E4686"/>
    <w:rsid w:val="00204982"/>
    <w:rsid w:val="00205546"/>
    <w:rsid w:val="00206E83"/>
    <w:rsid w:val="00212D41"/>
    <w:rsid w:val="0021559C"/>
    <w:rsid w:val="00223A0C"/>
    <w:rsid w:val="002336ED"/>
    <w:rsid w:val="002337E9"/>
    <w:rsid w:val="00243BDD"/>
    <w:rsid w:val="00276CE6"/>
    <w:rsid w:val="002A50CA"/>
    <w:rsid w:val="002B2930"/>
    <w:rsid w:val="002C374D"/>
    <w:rsid w:val="002D40F2"/>
    <w:rsid w:val="002E584E"/>
    <w:rsid w:val="00304A4A"/>
    <w:rsid w:val="003566D5"/>
    <w:rsid w:val="003A1400"/>
    <w:rsid w:val="00433318"/>
    <w:rsid w:val="00436747"/>
    <w:rsid w:val="004429AA"/>
    <w:rsid w:val="00443588"/>
    <w:rsid w:val="00443FAD"/>
    <w:rsid w:val="004528C2"/>
    <w:rsid w:val="00462127"/>
    <w:rsid w:val="0047614E"/>
    <w:rsid w:val="004863C6"/>
    <w:rsid w:val="004B5F29"/>
    <w:rsid w:val="004C2916"/>
    <w:rsid w:val="004C2E67"/>
    <w:rsid w:val="004C6CC0"/>
    <w:rsid w:val="004E148F"/>
    <w:rsid w:val="00510A14"/>
    <w:rsid w:val="00546F5B"/>
    <w:rsid w:val="00586F9E"/>
    <w:rsid w:val="0059246A"/>
    <w:rsid w:val="0059298B"/>
    <w:rsid w:val="005B78B6"/>
    <w:rsid w:val="005D37D7"/>
    <w:rsid w:val="00647398"/>
    <w:rsid w:val="006520D3"/>
    <w:rsid w:val="00661393"/>
    <w:rsid w:val="00674949"/>
    <w:rsid w:val="00680528"/>
    <w:rsid w:val="00682B37"/>
    <w:rsid w:val="006B3CEE"/>
    <w:rsid w:val="006C4AE4"/>
    <w:rsid w:val="006C6F1A"/>
    <w:rsid w:val="006D2FE9"/>
    <w:rsid w:val="006D447E"/>
    <w:rsid w:val="006F28E4"/>
    <w:rsid w:val="006F524B"/>
    <w:rsid w:val="0071752E"/>
    <w:rsid w:val="00734DC6"/>
    <w:rsid w:val="00747B1D"/>
    <w:rsid w:val="00753F54"/>
    <w:rsid w:val="007642E9"/>
    <w:rsid w:val="00772BF1"/>
    <w:rsid w:val="00783293"/>
    <w:rsid w:val="00785160"/>
    <w:rsid w:val="007B373E"/>
    <w:rsid w:val="007B515A"/>
    <w:rsid w:val="007E1744"/>
    <w:rsid w:val="00825540"/>
    <w:rsid w:val="0084184A"/>
    <w:rsid w:val="00846374"/>
    <w:rsid w:val="0084799B"/>
    <w:rsid w:val="00867315"/>
    <w:rsid w:val="0088096B"/>
    <w:rsid w:val="00882FBA"/>
    <w:rsid w:val="00896A42"/>
    <w:rsid w:val="00897C33"/>
    <w:rsid w:val="008A62E4"/>
    <w:rsid w:val="008B5C58"/>
    <w:rsid w:val="008D1215"/>
    <w:rsid w:val="008D5075"/>
    <w:rsid w:val="008E446E"/>
    <w:rsid w:val="008F5EDB"/>
    <w:rsid w:val="0091116E"/>
    <w:rsid w:val="00916684"/>
    <w:rsid w:val="00916BDF"/>
    <w:rsid w:val="00970120"/>
    <w:rsid w:val="009B0048"/>
    <w:rsid w:val="009B2B23"/>
    <w:rsid w:val="009C09D0"/>
    <w:rsid w:val="00A1699C"/>
    <w:rsid w:val="00A272CD"/>
    <w:rsid w:val="00A344A5"/>
    <w:rsid w:val="00A42F18"/>
    <w:rsid w:val="00A6514F"/>
    <w:rsid w:val="00AB4C86"/>
    <w:rsid w:val="00AF26EC"/>
    <w:rsid w:val="00B24150"/>
    <w:rsid w:val="00B96118"/>
    <w:rsid w:val="00BA4AF2"/>
    <w:rsid w:val="00BB41D7"/>
    <w:rsid w:val="00BD2C39"/>
    <w:rsid w:val="00BD61E0"/>
    <w:rsid w:val="00BF342B"/>
    <w:rsid w:val="00C2484F"/>
    <w:rsid w:val="00C326C3"/>
    <w:rsid w:val="00C44486"/>
    <w:rsid w:val="00C66901"/>
    <w:rsid w:val="00CA08D6"/>
    <w:rsid w:val="00CA7A45"/>
    <w:rsid w:val="00CE326A"/>
    <w:rsid w:val="00D369C6"/>
    <w:rsid w:val="00D36EC6"/>
    <w:rsid w:val="00D404A3"/>
    <w:rsid w:val="00D4570D"/>
    <w:rsid w:val="00D50DEE"/>
    <w:rsid w:val="00D70D70"/>
    <w:rsid w:val="00D814F8"/>
    <w:rsid w:val="00E0041E"/>
    <w:rsid w:val="00E0254D"/>
    <w:rsid w:val="00E10032"/>
    <w:rsid w:val="00E276F5"/>
    <w:rsid w:val="00E27C5F"/>
    <w:rsid w:val="00E566D4"/>
    <w:rsid w:val="00E75E8E"/>
    <w:rsid w:val="00F3099D"/>
    <w:rsid w:val="00F35E0B"/>
    <w:rsid w:val="00F41A4E"/>
    <w:rsid w:val="00F4273C"/>
    <w:rsid w:val="00F44003"/>
    <w:rsid w:val="00F441E2"/>
    <w:rsid w:val="00F57D4A"/>
    <w:rsid w:val="00F64A6F"/>
    <w:rsid w:val="00FC1BF4"/>
    <w:rsid w:val="00FC62A1"/>
    <w:rsid w:val="00FD13EE"/>
    <w:rsid w:val="00FD2F39"/>
    <w:rsid w:val="00FD3F60"/>
    <w:rsid w:val="00FD76E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9</Pages>
  <Words>1992</Words>
  <Characters>4165</Characters>
  <Application>Microsoft Office Word</Application>
  <DocSecurity>0</DocSecurity>
  <Lines>148</Lines>
  <Paragraphs>68</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51</cp:revision>
  <dcterms:created xsi:type="dcterms:W3CDTF">2026-05-14T03:21:00Z</dcterms:created>
  <dcterms:modified xsi:type="dcterms:W3CDTF">2026-05-19T08:37:00Z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