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1.3 论文结构</w:t>
      </w:r>
    </w:p>
    <w:p>
      <w:pPr>
        <w:ind w:firstLine="42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本论文共分为五章节，具体介绍如下：</w:t>
      </w:r>
    </w:p>
    <w:p>
      <w:pPr>
        <w:ind w:firstLine="42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第 1章主要阐述本论文的选题背景，选题意义，研究内容以及论文结构</w:t>
      </w:r>
    </w:p>
    <w:p>
      <w:pPr>
        <w:ind w:firstLine="42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第 2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章主要介绍常规用的钢筋混凝土和钢材的本构关系模型，以及抗震设计的基本原理和基本方法。</w:t>
      </w:r>
    </w:p>
    <w:p>
      <w:pPr>
        <w:ind w:firstLine="42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第 3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章主要对东营某超限建筑的分析，依据国家规范的具体要求，对该建筑的荷载作用，超限类型以及结构的体系与布置进行分析和阐述</w:t>
      </w:r>
    </w:p>
    <w:p>
      <w:pPr>
        <w:ind w:firstLine="42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第 4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章依据规范规定，对该建筑做基于性能的抗震设计分析，通过利用现代建筑设计软件</w:t>
      </w:r>
      <w:r>
        <w:rPr>
          <w:rFonts w:eastAsiaTheme="minorHAnsi"/>
          <w:sz w:val="28"/>
          <w:szCs w:val="28"/>
        </w:rPr>
        <w:t>SATWE</w:t>
      </w:r>
      <w:r>
        <w:rPr>
          <w:rFonts w:hint="eastAsia" w:eastAsiaTheme="minorHAnsi"/>
          <w:sz w:val="28"/>
          <w:szCs w:val="28"/>
        </w:rPr>
        <w:t>以及E</w:t>
      </w:r>
      <w:r>
        <w:rPr>
          <w:rFonts w:eastAsiaTheme="minorHAnsi"/>
          <w:sz w:val="28"/>
          <w:szCs w:val="28"/>
        </w:rPr>
        <w:t>TABS</w:t>
      </w:r>
      <w:r>
        <w:rPr>
          <w:rFonts w:hint="eastAsia" w:eastAsiaTheme="minorHAnsi"/>
          <w:sz w:val="28"/>
          <w:szCs w:val="28"/>
        </w:rPr>
        <w:t>和A</w:t>
      </w:r>
      <w:r>
        <w:rPr>
          <w:rFonts w:eastAsiaTheme="minorHAnsi"/>
          <w:sz w:val="28"/>
          <w:szCs w:val="28"/>
        </w:rPr>
        <w:t>BAQUS</w:t>
      </w:r>
      <w:r>
        <w:rPr>
          <w:rFonts w:hint="eastAsia" w:eastAsiaTheme="minorHAnsi"/>
          <w:sz w:val="28"/>
          <w:szCs w:val="28"/>
        </w:rPr>
        <w:t>，对结构在多遇地震和罕遇地震下进行对比。提出较为合理的建议和处理方法。</w:t>
      </w:r>
    </w:p>
    <w:p>
      <w:pPr>
        <w:ind w:firstLine="42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第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5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章阐述了本轮的不足之处，以及对今后工作的展望。，</w:t>
      </w:r>
    </w:p>
    <w:p>
      <w:pPr>
        <w:pStyle w:val="2"/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2基本知识</w:t>
      </w:r>
    </w:p>
    <w:p>
      <w:pPr>
        <w:ind w:firstLine="1120" w:firstLineChars="4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是与塑性应变历史相关的两个函数值。</w:t>
      </w:r>
    </w:p>
    <w:p>
      <w:pPr>
        <w:rPr>
          <w:rFonts w:eastAsiaTheme="minorHAnsi"/>
          <w:sz w:val="28"/>
          <w:szCs w:val="28"/>
        </w:rPr>
      </w:pPr>
    </w:p>
    <w:p>
      <w:pPr>
        <w:rPr>
          <w:rFonts w:eastAsiaTheme="minorHAnsi"/>
          <w:sz w:val="28"/>
          <w:szCs w:val="28"/>
        </w:rPr>
      </w:pPr>
    </w:p>
    <w:p>
      <w:pPr>
        <w:pStyle w:val="3"/>
        <w:rPr>
          <w:rFonts w:eastAsiaTheme="minorHAnsi"/>
          <w:sz w:val="28"/>
          <w:szCs w:val="28"/>
        </w:rPr>
      </w:pPr>
      <w:bookmarkStart w:id="0" w:name="_GoBack"/>
      <w:bookmarkEnd w:id="0"/>
      <w:r>
        <w:rPr>
          <w:rFonts w:hint="eastAsia" w:eastAsiaTheme="minorHAnsi"/>
          <w:sz w:val="28"/>
          <w:szCs w:val="28"/>
        </w:rPr>
        <w:t>3.1工程的具体概况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本工程地下一层，地上五层，建筑高度为</w:t>
      </w:r>
      <w:r>
        <w:rPr>
          <w:rFonts w:eastAsiaTheme="minorHAnsi"/>
          <w:sz w:val="28"/>
          <w:szCs w:val="28"/>
        </w:rPr>
        <w:t>23.2</w:t>
      </w:r>
      <w:r>
        <w:rPr>
          <w:rFonts w:hint="eastAsia" w:eastAsiaTheme="minorHAnsi"/>
          <w:sz w:val="28"/>
          <w:szCs w:val="28"/>
        </w:rPr>
        <w:t>米，建筑面积约</w:t>
      </w:r>
      <w:r>
        <w:rPr>
          <w:rFonts w:eastAsiaTheme="minorHAnsi"/>
          <w:sz w:val="28"/>
          <w:szCs w:val="28"/>
        </w:rPr>
        <w:t>9000</w:t>
      </w:r>
      <w:r>
        <w:rPr>
          <w:rFonts w:hint="eastAsia" w:eastAsiaTheme="minorHAnsi"/>
          <w:sz w:val="28"/>
          <w:szCs w:val="28"/>
        </w:rPr>
        <w:t>平。主要使用功能为展厅，四层部分为办公。主展厅高度约</w:t>
      </w:r>
      <w:r>
        <w:rPr>
          <w:rFonts w:eastAsiaTheme="minorHAnsi"/>
          <w:sz w:val="28"/>
          <w:szCs w:val="28"/>
        </w:rPr>
        <w:t>14</w:t>
      </w:r>
      <w:r>
        <w:rPr>
          <w:rFonts w:hint="eastAsia" w:eastAsiaTheme="minorHAnsi"/>
          <w:sz w:val="28"/>
          <w:szCs w:val="28"/>
        </w:rPr>
        <w:t>米（一层至三层顶）。地下一层到地上地上四层，均为钢筋-砼框架结构，第五层为钢结构。结构平面布置图如下：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5274310" cy="39560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560" w:firstLineChars="200"/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图1：建筑照片</w:t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5059680" cy="327660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69" t="7178" r="25553" b="6435"/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32766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图1：模型</w:t>
      </w:r>
    </w:p>
    <w:p>
      <w:pPr>
        <w:rPr>
          <w:rFonts w:eastAsiaTheme="minorHAnsi"/>
          <w:sz w:val="28"/>
          <w:szCs w:val="28"/>
        </w:rPr>
      </w:pP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5234940" cy="29108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24778" r="1758" b="21947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291084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图2：建筑立面图</w:t>
      </w:r>
    </w:p>
    <w:p>
      <w:pPr>
        <w:jc w:val="center"/>
        <w:rPr>
          <w:rFonts w:eastAsiaTheme="minorHAnsi"/>
          <w:sz w:val="28"/>
          <w:szCs w:val="28"/>
        </w:rPr>
      </w:pP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5097780" cy="2385060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8" t="27465" r="1469" b="20599"/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23850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图3：建筑剖面图</w:t>
      </w:r>
    </w:p>
    <w:p>
      <w:pPr>
        <w:pStyle w:val="3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3.2结构超限说明介绍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超限建筑类型和程度说明：依据《超限高层建筑工程抗震设防专项审查技术要点》符合以下其中一项的情况的建筑，就必须进行超限高层建筑工程抗震设防转向审查[</w:t>
      </w:r>
      <w:r>
        <w:rPr>
          <w:rFonts w:hint="eastAsia" w:eastAsiaTheme="minorHAnsi"/>
          <w:color w:val="FF0000"/>
          <w:sz w:val="28"/>
          <w:szCs w:val="28"/>
        </w:rPr>
        <w:t>蔡静敏4</w:t>
      </w:r>
      <w:r>
        <w:rPr>
          <w:rFonts w:eastAsiaTheme="minorHAnsi"/>
          <w:sz w:val="28"/>
          <w:szCs w:val="28"/>
        </w:rPr>
        <w:t>]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不规则程度超限：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建筑不规则超限有以下两种分类。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条件1：当建筑工程符合下表三项及三项以上不规则时，应做超限审查。</w:t>
      </w:r>
    </w:p>
    <w:p>
      <w:pPr>
        <w:ind w:firstLine="560" w:firstLineChars="200"/>
        <w:rPr>
          <w:rFonts w:eastAsiaTheme="minorHAnsi"/>
          <w:sz w:val="28"/>
          <w:szCs w:val="28"/>
        </w:rPr>
      </w:pPr>
    </w:p>
    <w:tbl>
      <w:tblPr>
        <w:tblStyle w:val="6"/>
        <w:tblW w:w="973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984"/>
        <w:gridCol w:w="690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序号</w:t>
            </w:r>
          </w:p>
        </w:tc>
        <w:tc>
          <w:tcPr>
            <w:tcW w:w="1984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不规则类型</w:t>
            </w:r>
          </w:p>
        </w:tc>
        <w:tc>
          <w:tcPr>
            <w:tcW w:w="6901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简要含义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1</w:t>
            </w:r>
          </w:p>
        </w:tc>
        <w:tc>
          <w:tcPr>
            <w:tcW w:w="1984" w:type="dxa"/>
            <w:tcBorders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扭转不规则</w:t>
            </w:r>
          </w:p>
        </w:tc>
        <w:tc>
          <w:tcPr>
            <w:tcW w:w="6901" w:type="dxa"/>
            <w:tcBorders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考虑偶然偏心距的扭转比大于1.2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2a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凹凸不规则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平面凹凸尺寸大于相应边长的30%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2b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组合平面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细腰形或者角部折叠形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楼板不连续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有效宽度小于50%，开动面积大于30%，错层大于梁高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4a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侧向刚度不规则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该层侧向刚度小于上层侧向刚度的80%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4b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尺寸突变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竖向构件位置缩进大于25%或外凸大于10%和4米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竖向构件不连续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上下墙，柱支撑不连续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承载力不连续</w:t>
            </w:r>
          </w:p>
        </w:tc>
        <w:tc>
          <w:tcPr>
            <w:tcW w:w="6901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相邻层受剪承载力变化大于75%</w:t>
            </w:r>
          </w:p>
        </w:tc>
      </w:tr>
    </w:tbl>
    <w:p>
      <w:pPr>
        <w:ind w:firstLine="560" w:firstLineChars="200"/>
        <w:rPr>
          <w:rFonts w:eastAsiaTheme="minorHAnsi"/>
          <w:sz w:val="28"/>
          <w:szCs w:val="28"/>
        </w:rPr>
      </w:pP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条件2：当建筑工程符合下表中的一项不规则时，都应做超限审查。</w:t>
      </w:r>
    </w:p>
    <w:p>
      <w:pPr>
        <w:ind w:firstLine="560" w:firstLineChars="200"/>
        <w:rPr>
          <w:rFonts w:eastAsiaTheme="minorHAnsi"/>
          <w:sz w:val="28"/>
          <w:szCs w:val="28"/>
        </w:rPr>
      </w:pPr>
    </w:p>
    <w:tbl>
      <w:tblPr>
        <w:tblStyle w:val="6"/>
        <w:tblW w:w="973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1"/>
        <w:gridCol w:w="1984"/>
        <w:gridCol w:w="690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序号</w:t>
            </w:r>
          </w:p>
        </w:tc>
        <w:tc>
          <w:tcPr>
            <w:tcW w:w="1984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不规则类型</w:t>
            </w:r>
          </w:p>
        </w:tc>
        <w:tc>
          <w:tcPr>
            <w:tcW w:w="690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简要含义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1</w:t>
            </w:r>
          </w:p>
        </w:tc>
        <w:tc>
          <w:tcPr>
            <w:tcW w:w="1984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扭转偏大</w:t>
            </w:r>
          </w:p>
        </w:tc>
        <w:tc>
          <w:tcPr>
            <w:tcW w:w="6901" w:type="dxa"/>
            <w:tcBorders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裙房以上楼层数考录偶然偏心的扭矩位移比大于1.5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2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层刚度偏小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相邻上层的侧向刚度大于本层的50%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3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层高转换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框支墙体的转换构件位置：7度超过5层，8度超过3层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4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板厚转换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7-8度设防的板厚转换结构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5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复杂连接</w:t>
            </w:r>
          </w:p>
        </w:tc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各部分层数、刚度、布置不同的错层、连体两端塔楼高度、体型或者沿大底盘某个主轴方向的振动周期显著不同的结构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1" w:type="dxa"/>
            <w:tcBorders>
              <w:top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6</w:t>
            </w:r>
          </w:p>
        </w:tc>
        <w:tc>
          <w:tcPr>
            <w:tcW w:w="1984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多重复</w:t>
            </w:r>
          </w:p>
        </w:tc>
        <w:tc>
          <w:tcPr>
            <w:tcW w:w="6901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同时具有加强层、错层、转换层和连体等复杂的结构类型达3种及以上</w:t>
            </w:r>
          </w:p>
        </w:tc>
      </w:tr>
    </w:tbl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即满足条件1和条件2任意一条，都需要做超限审查[</w:t>
      </w:r>
      <w:r>
        <w:rPr>
          <w:rFonts w:hint="eastAsia" w:eastAsiaTheme="minorHAnsi"/>
          <w:color w:val="FF0000"/>
          <w:sz w:val="28"/>
          <w:szCs w:val="28"/>
        </w:rPr>
        <w:t>蔡静敏4</w:t>
      </w:r>
      <w:r>
        <w:rPr>
          <w:rFonts w:eastAsiaTheme="minorHAnsi"/>
          <w:sz w:val="28"/>
          <w:szCs w:val="28"/>
        </w:rPr>
        <w:t>]</w:t>
      </w:r>
      <w:r>
        <w:rPr>
          <w:rFonts w:hint="eastAsia" w:eastAsiaTheme="minorHAnsi"/>
          <w:sz w:val="28"/>
          <w:szCs w:val="28"/>
        </w:rPr>
        <w:t>。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3.2.1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超限结构，在一层楼板开洞，洞口长为36米，宽27米。一层楼主体结构宽为43.6米，长为54米。超出规范规定的b</w:t>
      </w:r>
      <w:r>
        <w:rPr>
          <w:rFonts w:eastAsiaTheme="minorHAnsi"/>
          <w:sz w:val="28"/>
          <w:szCs w:val="28"/>
        </w:rPr>
        <w:t>/B&gt;=0.3</w:t>
      </w:r>
      <w:r>
        <w:rPr>
          <w:rFonts w:hint="eastAsia" w:eastAsiaTheme="minorHAnsi"/>
          <w:sz w:val="28"/>
          <w:szCs w:val="28"/>
        </w:rPr>
        <w:t>[</w:t>
      </w:r>
      <w:r>
        <w:rPr>
          <w:rFonts w:hint="eastAsia" w:eastAsiaTheme="minorHAnsi"/>
          <w:color w:val="FF0000"/>
          <w:sz w:val="28"/>
          <w:szCs w:val="28"/>
        </w:rPr>
        <w:t>吕西林，超限高层建筑结构设计抗震设计的若干问题</w:t>
      </w:r>
      <w:r>
        <w:rPr>
          <w:rFonts w:eastAsiaTheme="minorHAnsi"/>
          <w:sz w:val="28"/>
          <w:szCs w:val="28"/>
        </w:rPr>
        <w:t>]</w:t>
      </w:r>
      <w:r>
        <w:rPr>
          <w:rFonts w:hint="eastAsia" w:eastAsiaTheme="minorHAnsi"/>
          <w:sz w:val="28"/>
          <w:szCs w:val="28"/>
        </w:rPr>
        <w:t>。本层为大开洞，开洞面积约</w:t>
      </w:r>
      <w:r>
        <w:rPr>
          <w:rFonts w:eastAsiaTheme="minorHAnsi"/>
          <w:sz w:val="28"/>
          <w:szCs w:val="28"/>
        </w:rPr>
        <w:t>950</w:t>
      </w:r>
      <w:r>
        <w:rPr>
          <w:rFonts w:hint="eastAsia" w:eastAsiaTheme="minorHAnsi"/>
          <w:sz w:val="28"/>
          <w:szCs w:val="28"/>
        </w:rPr>
        <w:t>平米（缝左侧总面积约为</w:t>
      </w:r>
      <w:r>
        <w:rPr>
          <w:rFonts w:eastAsiaTheme="minorHAnsi"/>
          <w:sz w:val="28"/>
          <w:szCs w:val="28"/>
        </w:rPr>
        <w:t>2400</w:t>
      </w:r>
      <w:r>
        <w:rPr>
          <w:rFonts w:hint="eastAsia" w:eastAsiaTheme="minorHAnsi"/>
          <w:sz w:val="28"/>
          <w:szCs w:val="28"/>
        </w:rPr>
        <w:t>平米），占总面积的</w:t>
      </w:r>
      <w:r>
        <w:rPr>
          <w:rFonts w:eastAsiaTheme="minorHAnsi"/>
          <w:sz w:val="28"/>
          <w:szCs w:val="28"/>
        </w:rPr>
        <w:t>40%</w:t>
      </w:r>
      <w:r>
        <w:rPr>
          <w:rFonts w:hint="eastAsia" w:eastAsiaTheme="minorHAnsi"/>
          <w:sz w:val="28"/>
          <w:szCs w:val="28"/>
        </w:rPr>
        <w:t>；开洞宽度占总宽的的</w:t>
      </w:r>
      <w:r>
        <w:rPr>
          <w:rFonts w:eastAsiaTheme="minorHAnsi"/>
          <w:sz w:val="28"/>
          <w:szCs w:val="28"/>
        </w:rPr>
        <w:t>60%</w:t>
      </w:r>
      <w:r>
        <w:rPr>
          <w:rFonts w:hint="eastAsia" w:eastAsiaTheme="minorHAnsi"/>
          <w:sz w:val="28"/>
          <w:szCs w:val="28"/>
        </w:rPr>
        <w:t>。因此一层楼板属于平面规则性超限工程。具体结构布置如下图</w:t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5274310" cy="290004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图4：一层楼顶超限情况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第二层结构布置如下所示：在左侧有悬挑6.0米，楼板开洞和第一层相同，右侧开通面积长27.8米，宽18米，开洞面积比例约为55%。依据</w:t>
      </w:r>
      <w:r>
        <w:rPr>
          <w:rFonts w:hint="eastAsia" w:eastAsiaTheme="minorHAnsi"/>
          <w:color w:val="FF0000"/>
          <w:sz w:val="28"/>
          <w:szCs w:val="28"/>
        </w:rPr>
        <w:t>规范和[吕西林，超限高层建筑结构设计抗震设计的若干问题</w:t>
      </w:r>
      <w:r>
        <w:rPr>
          <w:rFonts w:eastAsiaTheme="minorHAnsi"/>
          <w:color w:val="FF0000"/>
          <w:sz w:val="28"/>
          <w:szCs w:val="28"/>
        </w:rPr>
        <w:t>]</w:t>
      </w:r>
      <w:r>
        <w:rPr>
          <w:rFonts w:hint="eastAsia" w:eastAsiaTheme="minorHAnsi"/>
          <w:sz w:val="28"/>
          <w:szCs w:val="28"/>
        </w:rPr>
        <w:t>该层超限。</w:t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5021580" cy="2532380"/>
            <wp:effectExtent l="0" t="0" r="762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图5：二层超限说明</w:t>
      </w:r>
    </w:p>
    <w:p>
      <w:pPr>
        <w:jc w:val="left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三层不规则的形式如同第一层,洞口左侧有长26.9米，宽16米的采光屋顶面。采用钢绗架结构。钢绗架跨度26.9米。</w:t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5167630" cy="26136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98"/>
                    <a:stretch>
                      <a:fillRect/>
                    </a:stretch>
                  </pic:blipFill>
                  <pic:spPr>
                    <a:xfrm>
                      <a:off x="0" y="0"/>
                      <a:ext cx="5167630" cy="261366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图6：三层超限布置图</w:t>
      </w:r>
    </w:p>
    <w:p>
      <w:pPr>
        <w:ind w:firstLine="560" w:firstLineChars="200"/>
        <w:jc w:val="left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四层结构布置如下所示：虚线内框架柱做为五层桁架层支点，为提高该层刚度，将相邻柱子一并升至桁架底，并采用框架梁连接。其跨度有37.2米。且四层对五层的支撑为滑动支撑，为刚度突变。</w:t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drawing>
          <wp:inline distT="0" distB="0" distL="0" distR="0">
            <wp:extent cx="2155825" cy="25419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0544" cy="255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图7：四层结构布置</w:t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drawing>
          <wp:inline distT="0" distB="0" distL="0" distR="0">
            <wp:extent cx="3115310" cy="2359025"/>
            <wp:effectExtent l="0" t="0" r="889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5326" cy="23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图8：四层对五层的支撑结构布置</w:t>
      </w:r>
    </w:p>
    <w:p>
      <w:pPr>
        <w:jc w:val="left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五层结构说明：五层平面受四层支撑，支撑结构如上图8所示，五层结构布置如下，虚线内为该层的支撑住。</w:t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3786505" cy="3936365"/>
            <wp:effectExtent l="0" t="0" r="4445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46"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3790423" cy="394045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图9：五层结构布置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总结：综上所述，该工程存在的不规则性有，平面不规则，竖向不规则，大悬挑等超限问题。</w:t>
      </w:r>
    </w:p>
    <w:p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1</w:t>
      </w:r>
      <w:r>
        <w:rPr>
          <w:rFonts w:hint="eastAsia" w:eastAsiaTheme="minorHAnsi"/>
          <w:sz w:val="28"/>
          <w:szCs w:val="28"/>
        </w:rPr>
        <w:t>、该工程包含多重不规则，框架结构竖向刚度较弱，拟增设部分斜撑或屈曲约束支撑加强刚度，剪力墙是否设置根据后续计算情况另行确定。</w:t>
      </w:r>
    </w:p>
    <w:p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2</w:t>
      </w:r>
      <w:r>
        <w:rPr>
          <w:rFonts w:hint="eastAsia" w:eastAsiaTheme="minorHAnsi"/>
          <w:sz w:val="28"/>
          <w:szCs w:val="28"/>
        </w:rPr>
        <w:t>、该结构除构造加强外，计算时部分竖向抗侧力构件考虑中震不屈服（或者中震弹性）。</w:t>
      </w:r>
    </w:p>
    <w:p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3</w:t>
      </w:r>
      <w:r>
        <w:rPr>
          <w:rFonts w:hint="eastAsia" w:eastAsiaTheme="minorHAnsi"/>
          <w:sz w:val="28"/>
          <w:szCs w:val="28"/>
        </w:rPr>
        <w:t>、因五层为空间桁架结构，刚度非常大，四层部分竖向构件仅有</w:t>
      </w:r>
      <w:r>
        <w:rPr>
          <w:rFonts w:eastAsiaTheme="minorHAnsi"/>
          <w:sz w:val="28"/>
          <w:szCs w:val="28"/>
        </w:rPr>
        <w:t>16</w:t>
      </w:r>
      <w:r>
        <w:rPr>
          <w:rFonts w:hint="eastAsia" w:eastAsiaTheme="minorHAnsi"/>
          <w:sz w:val="28"/>
          <w:szCs w:val="28"/>
        </w:rPr>
        <w:t>根</w:t>
      </w:r>
      <w:r>
        <w:rPr>
          <w:rFonts w:eastAsiaTheme="minorHAnsi"/>
          <w:sz w:val="28"/>
          <w:szCs w:val="28"/>
        </w:rPr>
        <w:t>KZ（拟增设斜撑或屈曲约束支撑）</w:t>
      </w:r>
      <w:r>
        <w:rPr>
          <w:rFonts w:hint="eastAsia" w:eastAsiaTheme="minorHAnsi"/>
          <w:sz w:val="28"/>
          <w:szCs w:val="28"/>
        </w:rPr>
        <w:t>，刚度比及楼层承载力之比难以满足规范要求，拟采用滑动支座进行连接。</w:t>
      </w:r>
    </w:p>
    <w:p>
      <w:pPr>
        <w:pStyle w:val="3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3.3结构超限的对应措施。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1对于开洞，有一层，二层，三层，四层。对洞口边缘的框架梁适当加大截面尺寸、周边现浇板板厚增大到160mm，全部采用双层双向配筋。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2对于大悬挑，一层二层均有6米的大悬挑。对挑梁端部及相邻一跨的框架柱增设芯柱或加设型钢，形成型钢暗框架。框架柱满足中震弹性。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3五层钢桁架楼层考虑8个框架柱的重要性，拟在四层采用增设屈曲约束支撑或斜撑增强刚度，加强框架柱的抗震性能及耗能能力。框架柱计算全部采用中震弹性。构造上提高抗震等级及加设芯柱作为安全储备。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四层对五层支撑的滑动制作的设计：根据桁架的计算假定及支座反力情况，两端采用位移有限值的滑动支座。经多种方案比较，考虑限位支座的永久性等多方面因素，采用在钢结构工程及路桥工程上广泛使用的球形钢支座。</w:t>
      </w:r>
      <w:r>
        <w:rPr>
          <w:rFonts w:eastAsiaTheme="minorHAnsi"/>
          <w:sz w:val="28"/>
          <w:szCs w:val="28"/>
        </w:rPr>
        <w:t>GQZ</w:t>
      </w:r>
      <w:r>
        <w:rPr>
          <w:rFonts w:hint="eastAsia" w:eastAsiaTheme="minorHAnsi"/>
          <w:sz w:val="28"/>
          <w:szCs w:val="28"/>
        </w:rPr>
        <w:t>球型钢支座传力可靠，转动灵活，承载力高，允许位移量大，能够满足支座大转角的需要。可以保证滑动支座在正常使用情况下及罕遇地震下的滑移量要求，并释放可能发生的伸缩变形，从而基本消除结构自身因温差效应，风荷载等对主体结构造成的影响。滑动支座的布置图如下所示：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drawing>
          <wp:inline distT="0" distB="0" distL="0" distR="0">
            <wp:extent cx="5274310" cy="2929890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3.4结构荷载情况</w:t>
      </w:r>
    </w:p>
    <w:p>
      <w:pPr>
        <w:ind w:firstLine="280" w:firstLineChars="1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楼面活荷载及恒荷载依据《建筑结构荷载规范》取。</w:t>
      </w:r>
    </w:p>
    <w:p>
      <w:pPr>
        <w:ind w:firstLine="280" w:firstLineChars="1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活荷载：</w:t>
      </w:r>
    </w:p>
    <w:tbl>
      <w:tblPr>
        <w:tblStyle w:val="6"/>
        <w:tblW w:w="8296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类别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4148" w:type="dxa"/>
            <w:tcBorders>
              <w:top w:val="single" w:color="auto" w:sz="4" w:space="0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楼面活荷载折减方式</w:t>
            </w:r>
          </w:p>
        </w:tc>
        <w:tc>
          <w:tcPr>
            <w:tcW w:w="4148" w:type="dxa"/>
            <w:tcBorders>
              <w:top w:val="single" w:color="auto" w:sz="4" w:space="0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传统方式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柱、墙设计时活荷载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不折减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传给基础的活荷载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折减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柱、墙、基础活荷载折减系数：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计算截面以上层数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折减系数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2-3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0.85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4-5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0.70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6-8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0.65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9-20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0.60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20层以上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0.55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梁楼面活荷载折减设置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不折减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梁活荷不利布置的最高层号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4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墙、柱设计时消防车荷载</w:t>
            </w:r>
          </w:p>
        </w:tc>
        <w:tc>
          <w:tcPr>
            <w:tcW w:w="4148" w:type="dxa"/>
            <w:tcBorders>
              <w:top w:val="nil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折减</w:t>
            </w:r>
          </w:p>
        </w:tc>
      </w:tr>
    </w:tbl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风荷载：</w:t>
      </w:r>
    </w:p>
    <w:p>
      <w:pPr>
        <w:ind w:firstLine="280" w:firstLineChars="1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依据荷载规范[</w:t>
      </w:r>
      <w:r>
        <w:rPr>
          <w:rFonts w:hint="eastAsia" w:eastAsiaTheme="minorHAnsi"/>
          <w:color w:val="FF0000"/>
          <w:sz w:val="28"/>
          <w:szCs w:val="28"/>
        </w:rPr>
        <w:t>荷载规范</w:t>
      </w:r>
      <w:r>
        <w:rPr>
          <w:rFonts w:eastAsiaTheme="minorHAnsi"/>
          <w:sz w:val="28"/>
          <w:szCs w:val="28"/>
        </w:rPr>
        <w:t>]</w:t>
      </w:r>
      <w:r>
        <w:rPr>
          <w:rFonts w:hint="eastAsia" w:eastAsiaTheme="minorHAnsi"/>
          <w:sz w:val="28"/>
          <w:szCs w:val="28"/>
        </w:rPr>
        <w:t>，东营地区的荷载计算参数如下：</w:t>
      </w:r>
    </w:p>
    <w:tbl>
      <w:tblPr>
        <w:tblStyle w:val="6"/>
        <w:tblW w:w="8296" w:type="dxa"/>
        <w:jc w:val="center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8"/>
        <w:gridCol w:w="414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类别</w:t>
            </w:r>
          </w:p>
        </w:tc>
        <w:tc>
          <w:tcPr>
            <w:tcW w:w="414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值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8" w:hRule="atLeast"/>
          <w:jc w:val="center"/>
        </w:trPr>
        <w:tc>
          <w:tcPr>
            <w:tcW w:w="4148" w:type="dxa"/>
            <w:tcBorders>
              <w:top w:val="single" w:color="auto" w:sz="4" w:space="0"/>
              <w:bottom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修正后的基本风压（kN/m2）</w:t>
            </w:r>
          </w:p>
        </w:tc>
        <w:tc>
          <w:tcPr>
            <w:tcW w:w="4148" w:type="dxa"/>
            <w:tcBorders>
              <w:top w:val="single" w:color="auto" w:sz="4" w:space="0"/>
              <w:bottom w:val="nil"/>
            </w:tcBorders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0.13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X向结构基本周期（秒）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0.62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Y向结构基本周期（秒）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0.62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风荷载作用下结构的阻尼比（%）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5.00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承载力设计时风荷载效应放大系数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用于舒适度验算的风压（kN/m2）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0.10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用于舒适度验算的结构阻尼比（%）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2.00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考虑顺风向风振影响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考虑横风向风振影响</w:t>
            </w:r>
          </w:p>
        </w:tc>
        <w:tc>
          <w:tcPr>
            <w:tcW w:w="414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atLeast"/>
          <w:jc w:val="center"/>
        </w:trPr>
        <w:tc>
          <w:tcPr>
            <w:tcW w:w="4148" w:type="dxa"/>
            <w:tcBorders>
              <w:top w:val="nil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考虑扭转风振影响</w:t>
            </w:r>
          </w:p>
        </w:tc>
        <w:tc>
          <w:tcPr>
            <w:tcW w:w="4148" w:type="dxa"/>
            <w:tcBorders>
              <w:top w:val="nil"/>
              <w:bottom w:val="single" w:color="auto" w:sz="4" w:space="0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</w:tbl>
    <w:p>
      <w:pPr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表1</w:t>
      </w:r>
    </w:p>
    <w:p>
      <w:pPr>
        <w:jc w:val="left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地震信息</w:t>
      </w:r>
    </w:p>
    <w:p>
      <w:pPr>
        <w:pStyle w:val="10"/>
        <w:ind w:left="420" w:firstLine="0" w:firstLineChars="0"/>
        <w:jc w:val="left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依据抗震规范[</w:t>
      </w:r>
      <w:r>
        <w:rPr>
          <w:rFonts w:hint="eastAsia" w:eastAsiaTheme="minorHAnsi"/>
          <w:color w:val="FF0000"/>
          <w:sz w:val="28"/>
          <w:szCs w:val="28"/>
        </w:rPr>
        <w:t>抗震规范</w:t>
      </w:r>
      <w:r>
        <w:rPr>
          <w:rFonts w:eastAsiaTheme="minorHAnsi"/>
          <w:sz w:val="28"/>
          <w:szCs w:val="28"/>
        </w:rPr>
        <w:t>]</w:t>
      </w:r>
      <w:r>
        <w:rPr>
          <w:rFonts w:hint="eastAsia" w:eastAsiaTheme="minorHAnsi"/>
          <w:sz w:val="28"/>
          <w:szCs w:val="28"/>
        </w:rPr>
        <w:t>，考虑三水准设防标准，建筑物分类参数如下表：</w:t>
      </w:r>
    </w:p>
    <w:tbl>
      <w:tblPr>
        <w:tblStyle w:val="6"/>
        <w:tblW w:w="788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46"/>
        <w:gridCol w:w="394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pStyle w:val="10"/>
              <w:ind w:firstLine="0" w:firstLineChars="0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参数</w:t>
            </w:r>
          </w:p>
        </w:tc>
        <w:tc>
          <w:tcPr>
            <w:tcW w:w="3940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pStyle w:val="10"/>
              <w:ind w:firstLine="0" w:firstLineChars="0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指标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pStyle w:val="10"/>
              <w:ind w:firstLine="0" w:firstLineChars="0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结构重要性系数</w:t>
            </w:r>
          </w:p>
        </w:tc>
        <w:tc>
          <w:tcPr>
            <w:tcW w:w="3940" w:type="dxa"/>
            <w:tcBorders>
              <w:left w:val="nil"/>
              <w:bottom w:val="single" w:color="auto" w:sz="4" w:space="0"/>
              <w:right w:val="nil"/>
            </w:tcBorders>
          </w:tcPr>
          <w:p>
            <w:pPr>
              <w:pStyle w:val="10"/>
              <w:ind w:firstLine="0" w:firstLineChars="0"/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1.10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结构规则性信息</w:t>
            </w:r>
          </w:p>
        </w:tc>
        <w:tc>
          <w:tcPr>
            <w:tcW w:w="3940" w:type="dxa"/>
            <w:tcBorders>
              <w:top w:val="single" w:color="auto" w:sz="4" w:space="0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不规则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设防地震分组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第三组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设防烈度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7（0.1g）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场地类别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III类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砼框架抗震等级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3  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剪力墙抗震等级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2  二级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钢框架抗震等级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3  三级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抗震构造措施的抗震等级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不改变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考虑双向地震作用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考虑偶然偏心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考虑偶然偏心的方式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相对于边长的偶然偏心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X向相对偶然偏心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Y向相对偶然偏心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重力荷载代表值的活载组合值系数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周期折减系数</w:t>
            </w:r>
          </w:p>
        </w:tc>
        <w:tc>
          <w:tcPr>
            <w:tcW w:w="394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0.80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946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特征周期（秒）</w:t>
            </w:r>
          </w:p>
        </w:tc>
        <w:tc>
          <w:tcPr>
            <w:tcW w:w="3940" w:type="dxa"/>
            <w:tcBorders>
              <w:top w:val="nil"/>
              <w:left w:val="nil"/>
              <w:bottom w:val="single" w:color="auto" w:sz="4" w:space="0"/>
              <w:right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0.65</w:t>
            </w:r>
          </w:p>
        </w:tc>
      </w:tr>
    </w:tbl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荷载组合系数：</w:t>
      </w:r>
    </w:p>
    <w:p>
      <w:pPr>
        <w:spacing w:before="352" w:beforeLines="113" w:after="352" w:afterLines="113" w:line="113" w:lineRule="auto"/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b/>
          <w:color w:val="000000"/>
          <w:sz w:val="28"/>
          <w:szCs w:val="28"/>
          <w:shd w:val="clear" w:color="auto" w:fill="FFFFFF"/>
        </w:rPr>
        <w:t>表4-2 永久荷载信息</w:t>
      </w:r>
    </w:p>
    <w:tbl>
      <w:tblPr>
        <w:tblStyle w:val="12"/>
        <w:tblW w:w="7052" w:type="dxa"/>
        <w:jc w:val="center"/>
        <w:tblInd w:w="0" w:type="dxa"/>
        <w:tblBorders>
          <w:top w:val="single" w:color="auto" w:sz="18" w:space="0"/>
          <w:left w:val="none" w:color="auto" w:sz="0" w:space="0"/>
          <w:bottom w:val="single" w:color="auto" w:sz="4" w:space="0"/>
          <w:right w:val="none" w:color="auto" w:sz="0" w:space="0"/>
          <w:insideH w:val="single" w:color="auto" w:sz="18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1"/>
        <w:gridCol w:w="1411"/>
        <w:gridCol w:w="1410"/>
        <w:gridCol w:w="1410"/>
        <w:gridCol w:w="1410"/>
      </w:tblGrid>
      <w:tr>
        <w:tblPrEx>
          <w:tblBorders>
            <w:top w:val="single" w:color="auto" w:sz="18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18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411" w:type="dxa"/>
            <w:tcBorders>
              <w:top w:val="single" w:color="auto" w:sz="14" w:space="0"/>
              <w:left w:val="single" w:color="auto" w:sz="14" w:space="0"/>
              <w:bottom w:val="single" w:color="auto" w:sz="14" w:space="0"/>
              <w:right w:val="single" w:color="auto" w:sz="6" w:space="0"/>
              <w:insideH w:val="single" w:sz="14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工况名称</w:t>
            </w:r>
          </w:p>
        </w:tc>
        <w:tc>
          <w:tcPr>
            <w:tcW w:w="1411" w:type="dxa"/>
            <w:tcBorders>
              <w:top w:val="single" w:color="auto" w:sz="14" w:space="0"/>
              <w:bottom w:val="single" w:color="auto" w:sz="14" w:space="0"/>
              <w:right w:val="single" w:color="auto" w:sz="6" w:space="0"/>
              <w:insideH w:val="single" w:sz="14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分项系数(不利主控)</w:t>
            </w:r>
          </w:p>
        </w:tc>
        <w:tc>
          <w:tcPr>
            <w:tcW w:w="1410" w:type="dxa"/>
            <w:tcBorders>
              <w:top w:val="single" w:color="auto" w:sz="14" w:space="0"/>
              <w:bottom w:val="single" w:color="auto" w:sz="14" w:space="0"/>
              <w:right w:val="single" w:color="auto" w:sz="6" w:space="0"/>
              <w:insideH w:val="single" w:sz="14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分项系数(不利非主控)</w:t>
            </w:r>
          </w:p>
        </w:tc>
        <w:tc>
          <w:tcPr>
            <w:tcW w:w="1410" w:type="dxa"/>
            <w:tcBorders>
              <w:top w:val="single" w:color="auto" w:sz="14" w:space="0"/>
              <w:bottom w:val="single" w:color="auto" w:sz="14" w:space="0"/>
              <w:right w:val="single" w:color="auto" w:sz="6" w:space="0"/>
              <w:insideH w:val="single" w:sz="14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分项系数(有利)</w:t>
            </w:r>
          </w:p>
        </w:tc>
        <w:tc>
          <w:tcPr>
            <w:tcW w:w="1410" w:type="dxa"/>
            <w:tcBorders>
              <w:top w:val="single" w:color="auto" w:sz="14" w:space="0"/>
              <w:bottom w:val="single" w:color="auto" w:sz="14" w:space="0"/>
              <w:right w:val="single" w:color="auto" w:sz="14" w:space="0"/>
              <w:insideH w:val="single" w:sz="14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重力荷载代表值系数</w:t>
            </w:r>
          </w:p>
        </w:tc>
      </w:tr>
      <w:tr>
        <w:tblPrEx>
          <w:tblBorders>
            <w:top w:val="single" w:color="auto" w:sz="18" w:space="0"/>
            <w:left w:val="none" w:color="auto" w:sz="0" w:space="0"/>
            <w:bottom w:val="single" w:color="auto" w:sz="4" w:space="0"/>
            <w:right w:val="none" w:color="auto" w:sz="0" w:space="0"/>
            <w:insideH w:val="single" w:color="auto" w:sz="18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" w:hRule="atLeast"/>
          <w:jc w:val="center"/>
        </w:trPr>
        <w:tc>
          <w:tcPr>
            <w:tcW w:w="1411" w:type="dxa"/>
            <w:shd w:val="clear" w:color="auto" w:fill="FFFFFF"/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恒荷载</w:t>
            </w:r>
          </w:p>
        </w:tc>
        <w:tc>
          <w:tcPr>
            <w:tcW w:w="1411" w:type="dxa"/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1.35</w:t>
            </w:r>
          </w:p>
        </w:tc>
        <w:tc>
          <w:tcPr>
            <w:tcW w:w="1410" w:type="dxa"/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1.20</w:t>
            </w:r>
          </w:p>
        </w:tc>
        <w:tc>
          <w:tcPr>
            <w:tcW w:w="1410" w:type="dxa"/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  <w:tc>
          <w:tcPr>
            <w:tcW w:w="1410" w:type="dxa"/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</w:tbl>
    <w:p>
      <w:pPr>
        <w:spacing w:before="352" w:beforeLines="113" w:after="352" w:afterLines="113" w:line="113" w:lineRule="auto"/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b/>
          <w:color w:val="000000"/>
          <w:sz w:val="28"/>
          <w:szCs w:val="28"/>
          <w:shd w:val="clear" w:color="auto" w:fill="FFFFFF"/>
        </w:rPr>
        <w:t>表4-3 可变荷载信息</w:t>
      </w:r>
    </w:p>
    <w:tbl>
      <w:tblPr>
        <w:tblStyle w:val="12"/>
        <w:tblW w:w="7187" w:type="dxa"/>
        <w:jc w:val="center"/>
        <w:tblInd w:w="0" w:type="dxa"/>
        <w:tblBorders>
          <w:top w:val="single" w:color="auto" w:sz="4" w:space="0"/>
          <w:left w:val="single" w:color="auto" w:sz="14" w:space="0"/>
          <w:bottom w:val="single" w:color="auto" w:sz="14" w:space="0"/>
          <w:right w:val="single" w:color="auto" w:sz="1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38"/>
        <w:gridCol w:w="1438"/>
        <w:gridCol w:w="1437"/>
        <w:gridCol w:w="1437"/>
        <w:gridCol w:w="1437"/>
      </w:tblGrid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1438" w:type="dxa"/>
            <w:tcBorders>
              <w:top w:val="single" w:color="auto" w:sz="18" w:space="0"/>
              <w:left w:val="nil"/>
              <w:bottom w:val="single" w:color="auto" w:sz="18" w:space="0"/>
              <w:right w:val="single" w:color="auto" w:sz="6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工况名称</w:t>
            </w:r>
          </w:p>
        </w:tc>
        <w:tc>
          <w:tcPr>
            <w:tcW w:w="1438" w:type="dxa"/>
            <w:tcBorders>
              <w:top w:val="single" w:color="auto" w:sz="18" w:space="0"/>
              <w:left w:val="nil"/>
              <w:bottom w:val="single" w:color="auto" w:sz="18" w:space="0"/>
              <w:right w:val="single" w:color="auto" w:sz="6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分项系数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single" w:color="auto" w:sz="18" w:space="0"/>
              <w:right w:val="single" w:color="auto" w:sz="6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抗震组合值系数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single" w:color="auto" w:sz="18" w:space="0"/>
              <w:right w:val="single" w:color="auto" w:sz="6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组合值系数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重力荷载代表值系数</w:t>
            </w:r>
          </w:p>
        </w:tc>
      </w:tr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6" w:hRule="atLeast"/>
          <w:jc w:val="center"/>
        </w:trPr>
        <w:tc>
          <w:tcPr>
            <w:tcW w:w="1438" w:type="dxa"/>
            <w:tcBorders>
              <w:top w:val="single" w:color="auto" w:sz="18" w:space="0"/>
              <w:left w:val="nil"/>
              <w:bottom w:val="nil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活荷载</w:t>
            </w:r>
          </w:p>
        </w:tc>
        <w:tc>
          <w:tcPr>
            <w:tcW w:w="1438" w:type="dxa"/>
            <w:tcBorders>
              <w:top w:val="single" w:color="auto" w:sz="18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1.40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--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0.70</w:t>
            </w:r>
          </w:p>
        </w:tc>
        <w:tc>
          <w:tcPr>
            <w:tcW w:w="1437" w:type="dxa"/>
            <w:tcBorders>
              <w:top w:val="single" w:color="auto" w:sz="18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9" w:hRule="atLeast"/>
          <w:jc w:val="center"/>
        </w:trPr>
        <w:tc>
          <w:tcPr>
            <w:tcW w:w="1438" w:type="dxa"/>
            <w:tcBorders>
              <w:top w:val="nil"/>
              <w:left w:val="nil"/>
              <w:bottom w:val="single" w:color="auto" w:sz="18" w:space="0"/>
              <w:right w:val="nil"/>
            </w:tcBorders>
            <w:shd w:val="clear" w:color="auto" w:fill="FFFFFF"/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风荷载</w:t>
            </w:r>
          </w:p>
        </w:tc>
        <w:tc>
          <w:tcPr>
            <w:tcW w:w="1438" w:type="dxa"/>
            <w:tcBorders>
              <w:top w:val="nil"/>
              <w:left w:val="nil"/>
              <w:bottom w:val="single" w:color="auto" w:sz="18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1.40</w:t>
            </w:r>
          </w:p>
        </w:tc>
        <w:tc>
          <w:tcPr>
            <w:tcW w:w="1437" w:type="dxa"/>
            <w:tcBorders>
              <w:top w:val="nil"/>
              <w:left w:val="nil"/>
              <w:bottom w:val="single" w:color="auto" w:sz="18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0.20</w:t>
            </w:r>
          </w:p>
        </w:tc>
        <w:tc>
          <w:tcPr>
            <w:tcW w:w="1437" w:type="dxa"/>
            <w:tcBorders>
              <w:top w:val="nil"/>
              <w:left w:val="nil"/>
              <w:bottom w:val="single" w:color="auto" w:sz="18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0.60</w:t>
            </w:r>
          </w:p>
        </w:tc>
        <w:tc>
          <w:tcPr>
            <w:tcW w:w="1437" w:type="dxa"/>
            <w:tcBorders>
              <w:top w:val="nil"/>
              <w:left w:val="nil"/>
              <w:bottom w:val="single" w:color="auto" w:sz="18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0.00</w:t>
            </w:r>
          </w:p>
        </w:tc>
      </w:tr>
    </w:tbl>
    <w:p>
      <w:pPr>
        <w:spacing w:before="352" w:beforeLines="113" w:after="352" w:afterLines="113" w:line="113" w:lineRule="auto"/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b/>
          <w:color w:val="000000"/>
          <w:sz w:val="28"/>
          <w:szCs w:val="28"/>
          <w:shd w:val="clear" w:color="auto" w:fill="FFFFFF"/>
        </w:rPr>
        <w:t>表4-4 地震作用信息</w:t>
      </w:r>
    </w:p>
    <w:tbl>
      <w:tblPr>
        <w:tblStyle w:val="12"/>
        <w:tblW w:w="7229" w:type="dxa"/>
        <w:jc w:val="center"/>
        <w:tblInd w:w="0" w:type="dxa"/>
        <w:tblBorders>
          <w:top w:val="single" w:color="auto" w:sz="4" w:space="0"/>
          <w:left w:val="single" w:color="auto" w:sz="14" w:space="0"/>
          <w:bottom w:val="single" w:color="auto" w:sz="14" w:space="0"/>
          <w:right w:val="single" w:color="auto" w:sz="1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09"/>
        <w:gridCol w:w="2410"/>
        <w:gridCol w:w="2410"/>
      </w:tblGrid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tblHeader/>
          <w:jc w:val="center"/>
        </w:trPr>
        <w:tc>
          <w:tcPr>
            <w:tcW w:w="2409" w:type="dxa"/>
            <w:tcBorders>
              <w:top w:val="single" w:color="auto" w:sz="18" w:space="0"/>
              <w:left w:val="nil"/>
              <w:bottom w:val="single" w:color="auto" w:sz="18" w:space="0"/>
              <w:right w:val="single" w:color="auto" w:sz="6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工况名称</w:t>
            </w:r>
          </w:p>
        </w:tc>
        <w:tc>
          <w:tcPr>
            <w:tcW w:w="2410" w:type="dxa"/>
            <w:tcBorders>
              <w:top w:val="single" w:color="auto" w:sz="18" w:space="0"/>
              <w:left w:val="nil"/>
              <w:bottom w:val="single" w:color="auto" w:sz="18" w:space="0"/>
              <w:right w:val="single" w:color="auto" w:sz="6" w:space="0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分项系数(主控)</w:t>
            </w:r>
          </w:p>
        </w:tc>
        <w:tc>
          <w:tcPr>
            <w:tcW w:w="2410" w:type="dxa"/>
            <w:tcBorders>
              <w:top w:val="single" w:color="auto" w:sz="18" w:space="0"/>
              <w:left w:val="nil"/>
              <w:bottom w:val="single" w:color="auto" w:sz="18" w:space="0"/>
              <w:right w:val="nil"/>
              <w:insideV w:val="single" w:sz="6" w:space="0"/>
              <w:tl2br w:val="nil"/>
              <w:tr2bl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分项系数(非主控)</w:t>
            </w:r>
          </w:p>
        </w:tc>
      </w:tr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center"/>
        </w:trPr>
        <w:tc>
          <w:tcPr>
            <w:tcW w:w="2409" w:type="dxa"/>
            <w:tcBorders>
              <w:top w:val="single" w:color="auto" w:sz="18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竖向地震</w:t>
            </w:r>
          </w:p>
        </w:tc>
        <w:tc>
          <w:tcPr>
            <w:tcW w:w="2410" w:type="dxa"/>
            <w:tcBorders>
              <w:top w:val="single" w:color="auto" w:sz="18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1.30</w:t>
            </w:r>
          </w:p>
        </w:tc>
        <w:tc>
          <w:tcPr>
            <w:tcW w:w="2410" w:type="dxa"/>
            <w:tcBorders>
              <w:top w:val="single" w:color="auto" w:sz="18" w:space="0"/>
              <w:left w:val="nil"/>
              <w:bottom w:val="nil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0.50</w:t>
            </w:r>
          </w:p>
        </w:tc>
      </w:tr>
      <w:tr>
        <w:tblPrEx>
          <w:tblBorders>
            <w:top w:val="single" w:color="auto" w:sz="4" w:space="0"/>
            <w:left w:val="single" w:color="auto" w:sz="14" w:space="0"/>
            <w:bottom w:val="single" w:color="auto" w:sz="14" w:space="0"/>
            <w:right w:val="single" w:color="auto" w:sz="1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0" w:hRule="atLeast"/>
          <w:jc w:val="center"/>
        </w:trPr>
        <w:tc>
          <w:tcPr>
            <w:tcW w:w="2409" w:type="dxa"/>
            <w:tcBorders>
              <w:top w:val="nil"/>
              <w:left w:val="nil"/>
              <w:bottom w:val="single" w:color="auto" w:sz="18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水平地震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18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1.30</w:t>
            </w:r>
          </w:p>
        </w:tc>
        <w:tc>
          <w:tcPr>
            <w:tcW w:w="2410" w:type="dxa"/>
            <w:tcBorders>
              <w:top w:val="nil"/>
              <w:left w:val="nil"/>
              <w:bottom w:val="single" w:color="auto" w:sz="18" w:space="0"/>
              <w:right w:val="nil"/>
            </w:tcBorders>
            <w:shd w:val="clear" w:color="auto" w:fill="FFFFFF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0.50</w:t>
            </w:r>
          </w:p>
        </w:tc>
      </w:tr>
    </w:tbl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3.5设计地震反应谱：</w:t>
      </w:r>
    </w:p>
    <w:p>
      <w:pPr>
        <w:rPr>
          <w:rFonts w:eastAsiaTheme="minorHAnsi"/>
          <w:sz w:val="28"/>
          <w:szCs w:val="28"/>
        </w:rPr>
      </w:pP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3.5结构材料</w:t>
      </w:r>
    </w:p>
    <w:p>
      <w:pPr>
        <w:rPr>
          <w:rFonts w:eastAsiaTheme="minorHAnsi"/>
          <w:sz w:val="28"/>
          <w:szCs w:val="28"/>
        </w:rPr>
      </w:pPr>
    </w:p>
    <w:p>
      <w:pPr>
        <w:rPr>
          <w:rFonts w:eastAsiaTheme="minorHAnsi"/>
          <w:color w:val="000000"/>
          <w:sz w:val="28"/>
          <w:szCs w:val="28"/>
          <w:shd w:val="clear" w:color="auto" w:fill="FFFFFF"/>
        </w:rPr>
      </w:pPr>
      <w:r>
        <w:rPr>
          <w:rFonts w:hint="eastAsia"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  </w:t>
      </w:r>
      <w:r>
        <w:rPr>
          <w:rFonts w:hint="eastAsia" w:eastAsiaTheme="minorHAnsi"/>
          <w:sz w:val="28"/>
          <w:szCs w:val="28"/>
        </w:rPr>
        <w:t>混凝土使用C35</w:t>
      </w:r>
      <w:r>
        <w:rPr>
          <w:rFonts w:eastAsiaTheme="minorHAnsi"/>
          <w:sz w:val="28"/>
          <w:szCs w:val="28"/>
        </w:rPr>
        <w:t>,</w:t>
      </w:r>
      <w:r>
        <w:rPr>
          <w:rFonts w:hint="eastAsia" w:eastAsiaTheme="minorHAnsi"/>
          <w:sz w:val="28"/>
          <w:szCs w:val="28"/>
        </w:rPr>
        <w:t>依据</w:t>
      </w:r>
      <w:r>
        <w:rPr>
          <w:rFonts w:hint="eastAsia" w:eastAsiaTheme="minorHAnsi"/>
          <w:color w:val="000000"/>
          <w:sz w:val="28"/>
          <w:szCs w:val="28"/>
          <w:shd w:val="clear" w:color="auto" w:fill="FFFFFF"/>
        </w:rPr>
        <w:t>《混凝土结构设计规范》(GB 50010-2010)，其参数如下表：</w:t>
      </w:r>
    </w:p>
    <w:p>
      <w:pPr>
        <w:rPr>
          <w:rFonts w:eastAsiaTheme="minorHAnsi"/>
          <w:sz w:val="28"/>
          <w:szCs w:val="28"/>
        </w:rPr>
      </w:pPr>
    </w:p>
    <w:p>
      <w:pPr>
        <w:rPr>
          <w:rFonts w:eastAsiaTheme="minorHAnsi"/>
          <w:color w:val="000000"/>
          <w:sz w:val="28"/>
          <w:szCs w:val="28"/>
          <w:shd w:val="clear" w:color="auto" w:fill="FFFFFF"/>
        </w:rPr>
      </w:pPr>
      <w:r>
        <w:rPr>
          <w:rFonts w:hint="eastAsia"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  </w:t>
      </w:r>
      <w:r>
        <w:rPr>
          <w:rFonts w:hint="eastAsia" w:eastAsiaTheme="minorHAnsi"/>
          <w:sz w:val="28"/>
          <w:szCs w:val="28"/>
        </w:rPr>
        <w:t>钢筋材料用H</w:t>
      </w:r>
      <w:r>
        <w:rPr>
          <w:rFonts w:eastAsiaTheme="minorHAnsi"/>
          <w:sz w:val="28"/>
          <w:szCs w:val="28"/>
        </w:rPr>
        <w:t>RB</w:t>
      </w:r>
      <w:r>
        <w:rPr>
          <w:rFonts w:hint="eastAsia" w:eastAsiaTheme="minorHAnsi"/>
          <w:sz w:val="28"/>
          <w:szCs w:val="28"/>
        </w:rPr>
        <w:t>400、H</w:t>
      </w:r>
      <w:r>
        <w:rPr>
          <w:rFonts w:eastAsiaTheme="minorHAnsi"/>
          <w:sz w:val="28"/>
          <w:szCs w:val="28"/>
        </w:rPr>
        <w:t>RB</w:t>
      </w:r>
      <w:r>
        <w:rPr>
          <w:rFonts w:hint="eastAsia" w:eastAsiaTheme="minorHAnsi"/>
          <w:sz w:val="28"/>
          <w:szCs w:val="28"/>
        </w:rPr>
        <w:t>335、H</w:t>
      </w:r>
      <w:r>
        <w:rPr>
          <w:rFonts w:eastAsiaTheme="minorHAnsi"/>
          <w:sz w:val="28"/>
          <w:szCs w:val="28"/>
        </w:rPr>
        <w:t>RB</w:t>
      </w:r>
      <w:r>
        <w:rPr>
          <w:rFonts w:hint="eastAsia" w:eastAsiaTheme="minorHAnsi"/>
          <w:sz w:val="28"/>
          <w:szCs w:val="28"/>
        </w:rPr>
        <w:t>300、H</w:t>
      </w:r>
      <w:r>
        <w:rPr>
          <w:rFonts w:eastAsiaTheme="minorHAnsi"/>
          <w:sz w:val="28"/>
          <w:szCs w:val="28"/>
        </w:rPr>
        <w:t>RB235</w:t>
      </w:r>
      <w:r>
        <w:rPr>
          <w:rFonts w:hint="eastAsia" w:eastAsiaTheme="minorHAnsi"/>
          <w:sz w:val="28"/>
          <w:szCs w:val="28"/>
        </w:rPr>
        <w:t>、H</w:t>
      </w:r>
      <w:r>
        <w:rPr>
          <w:rFonts w:eastAsiaTheme="minorHAnsi"/>
          <w:sz w:val="28"/>
          <w:szCs w:val="28"/>
        </w:rPr>
        <w:t>RB</w:t>
      </w:r>
      <w:r>
        <w:rPr>
          <w:rFonts w:hint="eastAsia" w:eastAsiaTheme="minorHAnsi"/>
          <w:sz w:val="28"/>
          <w:szCs w:val="28"/>
        </w:rPr>
        <w:t>200，依据</w:t>
      </w:r>
      <w:r>
        <w:rPr>
          <w:rFonts w:hint="eastAsia" w:eastAsiaTheme="minorHAnsi"/>
          <w:color w:val="000000"/>
          <w:sz w:val="28"/>
          <w:szCs w:val="28"/>
          <w:shd w:val="clear" w:color="auto" w:fill="FFFFFF"/>
        </w:rPr>
        <w:t>《混凝土结构设计规范》(GB 50010-2010)，其参数如下表：</w:t>
      </w:r>
    </w:p>
    <w:p>
      <w:pPr>
        <w:rPr>
          <w:rFonts w:eastAsiaTheme="minorHAnsi"/>
          <w:sz w:val="28"/>
          <w:szCs w:val="28"/>
        </w:rPr>
      </w:pPr>
    </w:p>
    <w:p>
      <w:pPr>
        <w:rPr>
          <w:rFonts w:eastAsiaTheme="minorHAnsi"/>
          <w:sz w:val="28"/>
          <w:szCs w:val="28"/>
        </w:rPr>
      </w:pP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3</w:t>
      </w:r>
      <w:r>
        <w:rPr>
          <w:rFonts w:eastAsiaTheme="minorHAnsi"/>
          <w:sz w:val="28"/>
          <w:szCs w:val="28"/>
        </w:rPr>
        <w:t>.7</w:t>
      </w:r>
      <w:r>
        <w:rPr>
          <w:rFonts w:hint="eastAsia" w:eastAsiaTheme="minorHAnsi"/>
          <w:sz w:val="28"/>
          <w:szCs w:val="28"/>
        </w:rPr>
        <w:t>本章小结：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   </w:t>
      </w:r>
      <w:r>
        <w:rPr>
          <w:rFonts w:hint="eastAsia" w:eastAsiaTheme="minorHAnsi"/>
          <w:sz w:val="28"/>
          <w:szCs w:val="28"/>
        </w:rPr>
        <w:t>本章对工程的基本情况做了详细的说明，其中包括建筑的主要结构布置，建筑物所在的地区，该建筑</w:t>
      </w:r>
    </w:p>
    <w:p>
      <w:pPr>
        <w:pStyle w:val="2"/>
        <w:jc w:val="center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4章结构抗震计算与分析</w:t>
      </w:r>
    </w:p>
    <w:p>
      <w:pPr>
        <w:pStyle w:val="3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4.1概念设计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4.1.1抗震设计所依据的法律法规：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工程抗震设防是以现有的科学水平和经济条件为前提，根据</w:t>
      </w:r>
      <w:r>
        <w:rPr>
          <w:rFonts w:eastAsiaTheme="minorHAnsi"/>
          <w:sz w:val="28"/>
          <w:szCs w:val="28"/>
        </w:rPr>
        <w:t xml:space="preserve"> 现有的震害经验料和科学研究水平，最大限度地限制和减</w:t>
      </w:r>
      <w:r>
        <w:rPr>
          <w:rFonts w:hint="eastAsia" w:eastAsiaTheme="minorHAnsi"/>
          <w:sz w:val="28"/>
          <w:szCs w:val="28"/>
        </w:rPr>
        <w:t>轻建筑物的地震破坏，保障人员安全和减少经济损失，符合国家法律法规的行为和过程。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我国有关建筑的防震减灾法律法规，主要指《中华人民共和</w:t>
      </w:r>
      <w:r>
        <w:rPr>
          <w:rFonts w:eastAsiaTheme="minorHAnsi"/>
          <w:sz w:val="28"/>
          <w:szCs w:val="28"/>
        </w:rPr>
        <w:t xml:space="preserve"> 国城乡规划法》、《中华人民共和国建筑法》、《中华人民</w:t>
      </w:r>
      <w:r>
        <w:rPr>
          <w:rFonts w:hint="eastAsia" w:eastAsiaTheme="minorHAnsi"/>
          <w:sz w:val="28"/>
          <w:szCs w:val="28"/>
        </w:rPr>
        <w:t>共和国防震减灾法》及相适应的主要技术性文件。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4.1.2</w:t>
      </w:r>
      <w:r>
        <w:rPr>
          <w:rFonts w:eastAsiaTheme="minorHAnsi"/>
          <w:sz w:val="28"/>
          <w:szCs w:val="28"/>
        </w:rPr>
        <w:t>抗震规范的设防目标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当遭受低于本地区抗震设防烈度的多遇地 震影响时</w:t>
      </w:r>
      <w:r>
        <w:rPr>
          <w:rFonts w:hint="eastAsia" w:eastAsiaTheme="minorHAnsi"/>
          <w:sz w:val="28"/>
          <w:szCs w:val="28"/>
        </w:rPr>
        <w:t>，</w:t>
      </w:r>
      <w:r>
        <w:rPr>
          <w:rFonts w:eastAsiaTheme="minorHAnsi"/>
          <w:sz w:val="28"/>
          <w:szCs w:val="28"/>
        </w:rPr>
        <w:t>主体结构不受损坏或不需修理仍可继续使用；当遭受相</w:t>
      </w:r>
      <w:r>
        <w:rPr>
          <w:rFonts w:hint="eastAsia" w:eastAsiaTheme="minorHAnsi"/>
          <w:sz w:val="28"/>
          <w:szCs w:val="28"/>
        </w:rPr>
        <w:t>当于本地区抗震设防烈度的设防地震影响时，可能发生损坏，但经一般性修理仍可继续使用；当遭受高于本地区抗震设防烈度的罕遇地震影响时，不致倒塌或发生危及生命的严重破坏。即通常所说的</w:t>
      </w:r>
      <w:r>
        <w:rPr>
          <w:rFonts w:eastAsiaTheme="minorHAnsi"/>
          <w:sz w:val="28"/>
          <w:szCs w:val="28"/>
        </w:rPr>
        <w:t xml:space="preserve"> “小震不坏、中震可修、大震不倒”的抗震设防目标</w:t>
      </w:r>
      <w:r>
        <w:rPr>
          <w:rFonts w:hint="eastAsia" w:eastAsiaTheme="minorHAnsi"/>
          <w:sz w:val="28"/>
          <w:szCs w:val="28"/>
        </w:rPr>
        <w:t>。</w:t>
      </w:r>
    </w:p>
    <w:p>
      <w:pPr>
        <w:ind w:firstLine="560" w:firstLineChars="200"/>
        <w:rPr>
          <w:rFonts w:eastAsiaTheme="minorHAnsi"/>
          <w:color w:val="000000"/>
          <w:sz w:val="28"/>
          <w:szCs w:val="28"/>
          <w:shd w:val="clear" w:color="auto" w:fill="FFFFFF"/>
        </w:rPr>
      </w:pPr>
      <w:r>
        <w:rPr>
          <w:rFonts w:hint="eastAsia" w:eastAsiaTheme="minorHAnsi"/>
          <w:sz w:val="28"/>
          <w:szCs w:val="28"/>
        </w:rPr>
        <w:t>对于“小震不坏，中震可修，大震不倒”的抗震设防目标，我们依据</w:t>
      </w:r>
      <w:r>
        <w:rPr>
          <w:rFonts w:hint="eastAsia" w:eastAsiaTheme="minorHAnsi"/>
          <w:color w:val="000000"/>
          <w:sz w:val="28"/>
          <w:szCs w:val="28"/>
          <w:shd w:val="clear" w:color="auto" w:fill="FFFFFF"/>
        </w:rPr>
        <w:t>《建筑抗震设计规范》(GB50011-2010)，对“小震、中震、大震”有以下的定义：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小震：也称为多遇地震，就是指发生频率最大的地震，基准年限50年内超越概率众值烈度的概率为63.2%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中震：设计基准期为50年内超越概率为10%的地面运动加速度值为设计地震基本参数。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大震：也称作为罕遇地震，基准期50年内超越概率定义为</w:t>
      </w:r>
      <w:r>
        <w:rPr>
          <w:rFonts w:eastAsiaTheme="minorHAnsi"/>
          <w:sz w:val="28"/>
          <w:szCs w:val="28"/>
        </w:rPr>
        <w:t>3</w:t>
      </w:r>
      <w:r>
        <w:rPr>
          <w:rFonts w:hint="eastAsia" w:eastAsiaTheme="minorHAnsi"/>
          <w:sz w:val="28"/>
          <w:szCs w:val="28"/>
        </w:rPr>
        <w:t>%-</w:t>
      </w:r>
      <w:r>
        <w:rPr>
          <w:rFonts w:eastAsiaTheme="minorHAnsi"/>
          <w:sz w:val="28"/>
          <w:szCs w:val="28"/>
        </w:rPr>
        <w:t>2</w:t>
      </w:r>
      <w:r>
        <w:rPr>
          <w:rFonts w:hint="eastAsia" w:eastAsiaTheme="minorHAnsi"/>
          <w:sz w:val="28"/>
          <w:szCs w:val="28"/>
        </w:rPr>
        <w:t>%。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新一代《中国地震动参数区划图》增加了极罕遇烈度的概念，超越概</w:t>
      </w:r>
      <w:r>
        <w:rPr>
          <w:rFonts w:eastAsiaTheme="minorHAnsi"/>
          <w:sz w:val="28"/>
          <w:szCs w:val="28"/>
        </w:rPr>
        <w:t>率定义为年0.01%(50年超越概率为0.5%)。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4.1.3抗震设防两阶段的设计的方法：</w:t>
      </w:r>
    </w:p>
    <w:p>
      <w:pPr>
        <w:ind w:firstLine="564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第一阶段设计：按多遇地震烈度对应的地震作用效应和其他荷载效</w:t>
      </w:r>
      <w:r>
        <w:rPr>
          <w:rFonts w:eastAsiaTheme="minorHAnsi"/>
          <w:sz w:val="28"/>
          <w:szCs w:val="28"/>
        </w:rPr>
        <w:t>应的组合验算结构构件的承载能力和弹性变形</w:t>
      </w:r>
      <w:r>
        <w:rPr>
          <w:rFonts w:hint="eastAsia" w:eastAsiaTheme="minorHAnsi"/>
          <w:sz w:val="28"/>
          <w:szCs w:val="28"/>
        </w:rPr>
        <w:t>依据。</w:t>
      </w:r>
    </w:p>
    <w:p>
      <w:pPr>
        <w:ind w:firstLine="564"/>
        <w:rPr>
          <w:rFonts w:eastAsiaTheme="minorHAnsi"/>
          <w:color w:val="000000"/>
          <w:sz w:val="28"/>
          <w:szCs w:val="28"/>
          <w:shd w:val="clear" w:color="auto" w:fill="FFFFFF"/>
        </w:rPr>
      </w:pPr>
      <w:r>
        <w:rPr>
          <w:rFonts w:hint="eastAsia" w:eastAsiaTheme="minorHAnsi"/>
          <w:color w:val="000000"/>
          <w:sz w:val="28"/>
          <w:szCs w:val="28"/>
          <w:shd w:val="clear" w:color="auto" w:fill="FFFFFF"/>
        </w:rPr>
        <w:t>第一阶段保证第一水准的强度要求和变形要求。</w:t>
      </w:r>
    </w:p>
    <w:p>
      <w:pPr>
        <w:ind w:firstLine="564"/>
        <w:rPr>
          <w:rFonts w:eastAsiaTheme="minorHAnsi"/>
          <w:color w:val="000000"/>
          <w:sz w:val="28"/>
          <w:szCs w:val="28"/>
          <w:shd w:val="clear" w:color="auto" w:fill="FFFFFF"/>
        </w:rPr>
      </w:pPr>
      <w:r>
        <w:rPr>
          <w:rFonts w:hint="eastAsia" w:eastAsiaTheme="minorHAnsi"/>
          <w:color w:val="000000"/>
          <w:sz w:val="28"/>
          <w:szCs w:val="28"/>
          <w:shd w:val="clear" w:color="auto" w:fill="FFFFFF"/>
        </w:rPr>
        <w:t>第二阶段设计：按罕遇地震烈度对应的地震作用效应验算结构的弹</w:t>
      </w:r>
      <w:r>
        <w:rPr>
          <w:rFonts w:eastAsiaTheme="minorHAnsi"/>
          <w:color w:val="000000"/>
          <w:sz w:val="28"/>
          <w:szCs w:val="28"/>
          <w:shd w:val="clear" w:color="auto" w:fill="FFFFFF"/>
        </w:rPr>
        <w:t xml:space="preserve"> 塑性变形。</w:t>
      </w:r>
    </w:p>
    <w:p>
      <w:pPr>
        <w:ind w:firstLine="564"/>
        <w:rPr>
          <w:rFonts w:eastAsiaTheme="minorHAnsi"/>
          <w:color w:val="000000"/>
          <w:sz w:val="28"/>
          <w:szCs w:val="28"/>
          <w:shd w:val="clear" w:color="auto" w:fill="FFFFFF"/>
        </w:rPr>
      </w:pPr>
      <w:r>
        <w:rPr>
          <w:rFonts w:hint="eastAsia" w:eastAsiaTheme="minorHAnsi"/>
          <w:color w:val="000000"/>
          <w:sz w:val="28"/>
          <w:szCs w:val="28"/>
          <w:shd w:val="clear" w:color="auto" w:fill="FFFFFF"/>
        </w:rPr>
        <w:t>第二阶段的设计，旨在保证构件满足第三水准的抗震设防要求。</w:t>
      </w:r>
    </w:p>
    <w:p>
      <w:pPr>
        <w:pStyle w:val="3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4.2计算分析</w:t>
      </w: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本工程为超限建筑，选用中国建筑科学研究院编制的S</w:t>
      </w:r>
      <w:r>
        <w:rPr>
          <w:rFonts w:eastAsiaTheme="minorHAnsi"/>
          <w:sz w:val="28"/>
          <w:szCs w:val="28"/>
        </w:rPr>
        <w:t>ATWE</w:t>
      </w:r>
      <w:r>
        <w:rPr>
          <w:rFonts w:hint="eastAsia" w:eastAsiaTheme="minorHAnsi"/>
          <w:sz w:val="28"/>
          <w:szCs w:val="28"/>
        </w:rPr>
        <w:t>软件和C</w:t>
      </w:r>
      <w:r>
        <w:rPr>
          <w:rFonts w:eastAsiaTheme="minorHAnsi"/>
          <w:sz w:val="28"/>
          <w:szCs w:val="28"/>
        </w:rPr>
        <w:t>SI</w:t>
      </w:r>
      <w:r>
        <w:rPr>
          <w:rFonts w:hint="eastAsia" w:eastAsiaTheme="minorHAnsi"/>
          <w:sz w:val="28"/>
          <w:szCs w:val="28"/>
        </w:rPr>
        <w:t>公司开发研制的E</w:t>
      </w:r>
      <w:r>
        <w:rPr>
          <w:rFonts w:eastAsiaTheme="minorHAnsi"/>
          <w:sz w:val="28"/>
          <w:szCs w:val="28"/>
        </w:rPr>
        <w:t>TABS</w:t>
      </w:r>
      <w:r>
        <w:rPr>
          <w:rFonts w:hint="eastAsia" w:eastAsiaTheme="minorHAnsi"/>
          <w:sz w:val="28"/>
          <w:szCs w:val="28"/>
        </w:rPr>
        <w:t>房屋建筑结构分析与设计软件进行计算，通过两种不同的力学模型空间计算程序对计算结果作对比分析。对建筑在多遇地震作用下，做弹性时程分析程序进行补充验算。软件计算时考虑双向地震。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4.2.1小震计算分析</w:t>
      </w:r>
    </w:p>
    <w:p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ab/>
      </w:r>
      <w:r>
        <w:rPr>
          <w:rFonts w:hint="eastAsia" w:eastAsiaTheme="minorHAnsi"/>
          <w:sz w:val="28"/>
          <w:szCs w:val="28"/>
        </w:rPr>
        <w:t>计算参数：</w:t>
      </w:r>
    </w:p>
    <w:p>
      <w:pPr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ab/>
      </w:r>
      <w:r>
        <w:rPr>
          <w:rFonts w:hint="eastAsia" w:eastAsiaTheme="minorHAnsi"/>
          <w:sz w:val="28"/>
          <w:szCs w:val="28"/>
        </w:rPr>
        <w:t>各项计算参数如下：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  </w:t>
      </w:r>
    </w:p>
    <w:tbl>
      <w:tblPr>
        <w:tblStyle w:val="6"/>
        <w:tblW w:w="9736" w:type="dxa"/>
        <w:tblInd w:w="0" w:type="dxa"/>
        <w:tblBorders>
          <w:top w:val="single" w:color="auto" w:sz="4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68"/>
        <w:gridCol w:w="4868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计算内容</w:t>
            </w:r>
          </w:p>
        </w:tc>
        <w:tc>
          <w:tcPr>
            <w:tcW w:w="4868" w:type="dxa"/>
            <w:tcBorders>
              <w:top w:val="single" w:color="auto" w:sz="4" w:space="0"/>
              <w:bottom w:val="single" w:color="auto" w:sz="4" w:space="0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小震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single" w:color="auto" w:sz="4" w:space="0"/>
              <w:bottom w:val="nil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计算软件</w:t>
            </w:r>
          </w:p>
        </w:tc>
        <w:tc>
          <w:tcPr>
            <w:tcW w:w="4868" w:type="dxa"/>
            <w:tcBorders>
              <w:top w:val="single" w:color="auto" w:sz="4" w:space="0"/>
              <w:bottom w:val="nil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S</w:t>
            </w:r>
            <w:r>
              <w:rPr>
                <w:rFonts w:eastAsiaTheme="minorHAnsi"/>
                <w:sz w:val="28"/>
                <w:szCs w:val="28"/>
              </w:rPr>
              <w:t>ATWE v4.3.0，</w:t>
            </w:r>
            <w:r>
              <w:rPr>
                <w:rFonts w:hint="eastAsia" w:eastAsiaTheme="minorHAnsi"/>
                <w:sz w:val="28"/>
                <w:szCs w:val="28"/>
              </w:rPr>
              <w:t>E</w:t>
            </w:r>
            <w:r>
              <w:rPr>
                <w:rFonts w:eastAsiaTheme="minorHAnsi"/>
                <w:sz w:val="28"/>
                <w:szCs w:val="28"/>
              </w:rPr>
              <w:t>TABS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水平力与整体坐标夹角（度）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混凝土容重（kN/m3）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26.00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钢材容重（kN/m3）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78.00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裙房层数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转换层所在层号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嵌固端所在层号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地上部分层数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5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地下室层数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墙元细分最大控制长度（m）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弹性板细分最大控制长度（m）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转换层指定为薄弱层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墙梁跨中节点作为刚性楼板从节点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高位转换结构等效侧向刚度比计算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传统方法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构件偏心方式</w:t>
            </w:r>
          </w:p>
        </w:tc>
        <w:tc>
          <w:tcPr>
            <w:tcW w:w="4868" w:type="dxa"/>
            <w:tcBorders>
              <w:top w:val="nil"/>
              <w:bottom w:val="nil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传统移动节点方式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结构材料信息</w:t>
            </w:r>
          </w:p>
        </w:tc>
        <w:tc>
          <w:tcPr>
            <w:tcW w:w="4868" w:type="dxa"/>
            <w:tcBorders>
              <w:top w:val="nil"/>
              <w:bottom w:val="nil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钢筋混凝土结构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结构体系</w:t>
            </w:r>
          </w:p>
        </w:tc>
        <w:tc>
          <w:tcPr>
            <w:tcW w:w="4868" w:type="dxa"/>
            <w:tcBorders>
              <w:top w:val="nil"/>
              <w:bottom w:val="nil"/>
            </w:tcBorders>
          </w:tcPr>
          <w:p>
            <w:pPr>
              <w:jc w:val="center"/>
              <w:rPr>
                <w:rFonts w:hint="eastAsia"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sz w:val="28"/>
                <w:szCs w:val="28"/>
              </w:rPr>
              <w:t>框剪体系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恒活荷载计算信息</w:t>
            </w:r>
          </w:p>
        </w:tc>
        <w:tc>
          <w:tcPr>
            <w:tcW w:w="4868" w:type="dxa"/>
            <w:tcBorders>
              <w:top w:val="nil"/>
              <w:bottom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模拟施工加载 3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tcBorders>
              <w:top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风荷载计算信息</w:t>
            </w:r>
          </w:p>
        </w:tc>
        <w:tc>
          <w:tcPr>
            <w:tcW w:w="4868" w:type="dxa"/>
            <w:tcBorders>
              <w:top w:val="nil"/>
            </w:tcBorders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计算水平风荷载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地震作用计算信息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计算水平和规范简化方法竖向地震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结构所在地区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全国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规定水平力的确定方式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楼层剪力差方法（规范方法）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墙梁转框架梁的控制跨高比（0=不转）</w:t>
            </w:r>
          </w:p>
        </w:tc>
        <w:tc>
          <w:tcPr>
            <w:tcW w:w="4868" w:type="dxa"/>
            <w:vAlign w:val="center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框架连梁按壳元计算控制跨高比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0.00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扣除构件重叠质量和重量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刚性楼板假定计算信息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不强制采用刚性楼板假定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楼梯计算信息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不带楼梯进行计算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采用指定的刚重比计算模型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墙柱刚度折减系数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1.00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自动计算现浇楼板自重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sz w:val="28"/>
                <w:szCs w:val="28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是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4" w:space="0"/>
            <w:right w:val="none" w:color="auto" w:sz="0" w:space="0"/>
            <w:insideH w:val="none" w:color="auto" w:sz="0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楼板按有限元方式进行面外设计</w:t>
            </w:r>
          </w:p>
        </w:tc>
        <w:tc>
          <w:tcPr>
            <w:tcW w:w="4868" w:type="dxa"/>
            <w:vAlign w:val="bottom"/>
          </w:tcPr>
          <w:p>
            <w:pPr>
              <w:jc w:val="center"/>
              <w:rPr>
                <w:rFonts w:eastAsiaTheme="minorHAnsi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hint="eastAsia" w:eastAsiaTheme="minorHAnsi"/>
                <w:color w:val="000000"/>
                <w:sz w:val="28"/>
                <w:szCs w:val="28"/>
                <w:shd w:val="clear" w:color="auto" w:fill="FFFFFF"/>
              </w:rPr>
              <w:t>否</w:t>
            </w:r>
          </w:p>
        </w:tc>
      </w:tr>
    </w:tbl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 xml:space="preserve"> </w:t>
      </w:r>
      <w:r>
        <w:rPr>
          <w:rFonts w:eastAsiaTheme="minorHAnsi"/>
          <w:sz w:val="28"/>
          <w:szCs w:val="28"/>
        </w:rPr>
        <w:t xml:space="preserve"> 计算结果：</w:t>
      </w:r>
    </w:p>
    <w:p>
      <w:pPr>
        <w:rPr>
          <w:rFonts w:hint="eastAsia" w:eastAsiaTheme="minorHAnsi"/>
          <w:sz w:val="28"/>
          <w:szCs w:val="28"/>
        </w:rPr>
      </w:pPr>
    </w:p>
    <w:p>
      <w:pPr>
        <w:ind w:firstLine="560" w:firstLineChars="200"/>
        <w:rPr>
          <w:rFonts w:eastAsiaTheme="minorHAnsi"/>
          <w:sz w:val="28"/>
          <w:szCs w:val="28"/>
        </w:rPr>
      </w:pPr>
      <w:r>
        <w:rPr>
          <w:rFonts w:hint="eastAsia" w:eastAsiaTheme="minorHAnsi"/>
          <w:color w:val="000000"/>
          <w:sz w:val="28"/>
          <w:szCs w:val="28"/>
          <w:shd w:val="clear" w:color="auto" w:fill="FFFFFF"/>
        </w:rPr>
        <w:t>《建筑抗震设计规范》(GB50011-2010)</w:t>
      </w:r>
      <w:r>
        <w:rPr>
          <w:rFonts w:eastAsiaTheme="minorHAnsi"/>
          <w:color w:val="000000"/>
          <w:sz w:val="28"/>
          <w:szCs w:val="28"/>
          <w:shd w:val="clear" w:color="auto" w:fill="FFFFFF"/>
        </w:rPr>
        <w:t xml:space="preserve"> 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 xml:space="preserve">超限建筑，从本质上讲是，研究工作落后与工程实践。有限元分析软件的利用加上合理的设计优化，1得到的计算结果比较精确，对实际工程具有 </w:t>
      </w:r>
      <w:r>
        <w:rPr>
          <w:rFonts w:eastAsiaTheme="minorHAnsi"/>
          <w:sz w:val="28"/>
          <w:szCs w:val="28"/>
        </w:rPr>
        <w:t xml:space="preserve"> </w:t>
      </w:r>
      <w:r>
        <w:rPr>
          <w:rFonts w:hint="eastAsia" w:eastAsiaTheme="minorHAnsi"/>
          <w:sz w:val="28"/>
          <w:szCs w:val="28"/>
        </w:rPr>
        <w:t>指导意义。弹性分析，为工程提供有效的数据支持</w:t>
      </w:r>
    </w:p>
    <w:p>
      <w:pPr>
        <w:rPr>
          <w:rFonts w:eastAsiaTheme="minorHAnsi"/>
          <w:sz w:val="28"/>
          <w:szCs w:val="28"/>
        </w:rPr>
      </w:pPr>
      <w:r>
        <w:rPr>
          <w:rFonts w:hint="eastAsia" w:eastAsiaTheme="minorHAnsi"/>
          <w:sz w:val="28"/>
          <w:szCs w:val="28"/>
        </w:rPr>
        <w:t>4.1.1地震波选取：</w:t>
      </w: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6253"/>
    <w:rsid w:val="0001162C"/>
    <w:rsid w:val="00026DD1"/>
    <w:rsid w:val="00046A74"/>
    <w:rsid w:val="00051E62"/>
    <w:rsid w:val="000633B0"/>
    <w:rsid w:val="00071972"/>
    <w:rsid w:val="00090ED7"/>
    <w:rsid w:val="000E160A"/>
    <w:rsid w:val="001E2B14"/>
    <w:rsid w:val="00255AC4"/>
    <w:rsid w:val="002A56AE"/>
    <w:rsid w:val="002C3991"/>
    <w:rsid w:val="002D7EE5"/>
    <w:rsid w:val="00312E3B"/>
    <w:rsid w:val="00330515"/>
    <w:rsid w:val="003A5B1F"/>
    <w:rsid w:val="0047295F"/>
    <w:rsid w:val="004A6915"/>
    <w:rsid w:val="004D341B"/>
    <w:rsid w:val="00504C11"/>
    <w:rsid w:val="00515292"/>
    <w:rsid w:val="00592FF6"/>
    <w:rsid w:val="006102B3"/>
    <w:rsid w:val="00623BF5"/>
    <w:rsid w:val="00742384"/>
    <w:rsid w:val="00747563"/>
    <w:rsid w:val="0076699A"/>
    <w:rsid w:val="007A14CB"/>
    <w:rsid w:val="00847274"/>
    <w:rsid w:val="00860284"/>
    <w:rsid w:val="008B594B"/>
    <w:rsid w:val="00901E98"/>
    <w:rsid w:val="009541F4"/>
    <w:rsid w:val="00955503"/>
    <w:rsid w:val="009C6FDA"/>
    <w:rsid w:val="009F733B"/>
    <w:rsid w:val="00A12DFE"/>
    <w:rsid w:val="00A82FCE"/>
    <w:rsid w:val="00A97F48"/>
    <w:rsid w:val="00AC19FF"/>
    <w:rsid w:val="00AE0107"/>
    <w:rsid w:val="00B020CE"/>
    <w:rsid w:val="00B02FA1"/>
    <w:rsid w:val="00B30F5D"/>
    <w:rsid w:val="00B46634"/>
    <w:rsid w:val="00B57D09"/>
    <w:rsid w:val="00BF1055"/>
    <w:rsid w:val="00BF3545"/>
    <w:rsid w:val="00BF6678"/>
    <w:rsid w:val="00C37195"/>
    <w:rsid w:val="00CB681E"/>
    <w:rsid w:val="00D23B6C"/>
    <w:rsid w:val="00DD520E"/>
    <w:rsid w:val="00E706D9"/>
    <w:rsid w:val="00E84052"/>
    <w:rsid w:val="00EB50DE"/>
    <w:rsid w:val="00F66253"/>
    <w:rsid w:val="00FE2C16"/>
    <w:rsid w:val="00FF1AD7"/>
    <w:rsid w:val="6BC86B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6">
    <w:name w:val="Table Grid"/>
    <w:basedOn w:val="5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8">
    <w:name w:val="标题 1 字符"/>
    <w:basedOn w:val="7"/>
    <w:link w:val="2"/>
    <w:uiPriority w:val="9"/>
    <w:rPr>
      <w:b/>
      <w:bCs/>
      <w:kern w:val="44"/>
      <w:sz w:val="44"/>
      <w:szCs w:val="44"/>
    </w:rPr>
  </w:style>
  <w:style w:type="character" w:customStyle="1" w:styleId="9">
    <w:name w:val="标题 3 字符"/>
    <w:basedOn w:val="7"/>
    <w:link w:val="3"/>
    <w:uiPriority w:val="9"/>
    <w:rPr>
      <w:b/>
      <w:bCs/>
      <w:sz w:val="32"/>
      <w:szCs w:val="32"/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styleId="11">
    <w:name w:val="Placeholder Text"/>
    <w:basedOn w:val="7"/>
    <w:semiHidden/>
    <w:uiPriority w:val="99"/>
    <w:rPr>
      <w:color w:val="808080"/>
    </w:rPr>
  </w:style>
  <w:style w:type="table" w:customStyle="1" w:styleId="12">
    <w:name w:val="表头及边框粗，内线细"/>
    <w:basedOn w:val="5"/>
    <w:qFormat/>
    <w:uiPriority w:val="99"/>
    <w:tblPr>
      <w:tblBorders>
        <w:top w:val="single" w:color="auto" w:sz="4" w:space="0"/>
        <w:left w:val="single" w:color="auto" w:sz="14" w:space="0"/>
        <w:bottom w:val="single" w:color="auto" w:sz="14" w:space="0"/>
        <w:right w:val="single" w:color="auto" w:sz="14" w:space="0"/>
        <w:insideH w:val="single" w:color="auto" w:sz="4" w:space="0"/>
        <w:insideV w:val="single" w:color="auto" w:sz="4" w:space="0"/>
      </w:tblBorders>
      <w:tblLayout w:type="fixed"/>
    </w:tblPr>
    <w:tblStylePr w:type="firstRow">
      <w:tcPr>
        <w:tcBorders>
          <w:top w:val="single" w:color="auto" w:sz="14" w:space="0"/>
          <w:left w:val="single" w:color="auto" w:sz="14" w:space="0"/>
          <w:bottom w:val="single" w:color="auto" w:sz="14" w:space="0"/>
          <w:right w:val="single" w:color="auto" w:sz="14" w:space="0"/>
          <w:insideH w:val="single" w:sz="6" w:space="0"/>
          <w:insideV w:val="single" w:sz="6" w:space="0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1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25</Pages>
  <Words>1300</Words>
  <Characters>7416</Characters>
  <Lines>61</Lines>
  <Paragraphs>17</Paragraphs>
  <TotalTime>567</TotalTime>
  <ScaleCrop>false</ScaleCrop>
  <LinksUpToDate>false</LinksUpToDate>
  <CharactersWithSpaces>8699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2018-12-12T08:57:00Z</dcterms:created>
  <dc:creator>yuhong d</dc:creator>
  <cp:lastModifiedBy>董瑜宏</cp:lastModifiedBy>
  <dcterms:modified xsi:type="dcterms:W3CDTF">2018-05-14T13:48:52Z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