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Lines="0" w:afterLines="0"/>
        <w:rPr>
          <w:rFonts w:hint="default" w:eastAsia="Times New Roman"/>
          <w:sz w:val="44"/>
        </w:rPr>
      </w:pPr>
      <w:r>
        <w:rPr>
          <w:rFonts w:hint="eastAsia" w:eastAsia="等线"/>
          <w:sz w:val="44"/>
        </w:rPr>
        <w:t xml:space="preserve">3 </w:t>
      </w:r>
      <w:r>
        <w:rPr>
          <w:rFonts w:hint="eastAsia"/>
          <w:sz w:val="44"/>
        </w:rPr>
        <w:t>某超限建筑的基本情况和超限判别</w:t>
      </w: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 xml:space="preserve">3.1 </w:t>
      </w:r>
      <w:r>
        <w:rPr>
          <w:rFonts w:hint="eastAsia"/>
          <w:sz w:val="32"/>
        </w:rPr>
        <w:t>工程具体概况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本工程地下一层，地上五层，建筑高度为23.2米，建筑面积约9000平。主要使用功能为展厅，四层部分为办公。主展厅高度约14米（一层至三层顶）。地下一层到地上地上四层，均为钢筋</w:t>
      </w:r>
      <w:r>
        <w:rPr>
          <w:rFonts w:hint="default" w:ascii="STFangsong" w:hAnsi="STFangsong" w:eastAsia="STFangsong"/>
          <w:sz w:val="28"/>
        </w:rPr>
        <w:t>-</w:t>
      </w:r>
      <w:r>
        <w:rPr>
          <w:rFonts w:hint="eastAsia" w:ascii="STFangsong" w:hAnsi="STFangsong" w:eastAsia="STFangsong"/>
          <w:sz w:val="28"/>
        </w:rPr>
        <w:t>砼框架结构，第五层为钢结构。结构平面布置图如下：</w:t>
      </w:r>
    </w:p>
    <w:p>
      <w:pPr>
        <w:spacing w:beforeLines="0" w:afterLines="0"/>
        <w:ind w:firstLine="560" w:firstLineChars="200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274310" cy="3956685"/>
            <wp:effectExtent l="0" t="0" r="13970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560" w:firstLineChars="20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图1：建筑照片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057140" cy="3267710"/>
            <wp:effectExtent l="0" t="0" r="254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8170" t="7178" r="25552" b="643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图1：模型</w:t>
      </w:r>
    </w:p>
    <w:p>
      <w:pPr>
        <w:spacing w:beforeLines="0" w:afterLines="0"/>
        <w:rPr>
          <w:rFonts w:hint="default" w:eastAsia="等线"/>
          <w:sz w:val="28"/>
        </w:rPr>
      </w:pP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033010" cy="2880360"/>
            <wp:effectExtent l="0" t="0" r="1143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875" t="24777" r="1755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图2：建筑立面图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4922520" cy="2277110"/>
            <wp:effectExtent l="0" t="0" r="0" b="889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877" t="27463" r="1466" b="2060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图3：建筑剖面图</w:t>
      </w: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3.2</w:t>
      </w:r>
      <w:r>
        <w:rPr>
          <w:rFonts w:hint="eastAsia"/>
          <w:sz w:val="32"/>
        </w:rPr>
        <w:t>结构超限说明</w:t>
      </w:r>
    </w:p>
    <w:p>
      <w:pPr>
        <w:spacing w:beforeLines="0" w:afterLines="0"/>
        <w:rPr>
          <w:rFonts w:hint="eastAsia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超限建筑类型和程度说明：依据《超限高层建筑工程抗震设防专项审查技术要点》符合以下其中一项的情况的建筑，就必须进行超限高层建筑工程抗震设防转向审查[蔡静敏4]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不规则程度超限：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建筑不规则超限有以下两种分类。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条件1：当建筑工程符合下表三项及三项以上不规则时，应做超限审查。</w:t>
      </w:r>
    </w:p>
    <w:p>
      <w:pPr>
        <w:spacing w:beforeLines="0" w:afterLines="0"/>
        <w:ind w:firstLine="560" w:firstLineChars="200"/>
        <w:rPr>
          <w:rFonts w:hint="default" w:eastAsia="等线"/>
          <w:sz w:val="28"/>
        </w:rPr>
      </w:pPr>
    </w:p>
    <w:tbl>
      <w:tblPr>
        <w:tblStyle w:val="5"/>
        <w:tblW w:w="885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815"/>
        <w:gridCol w:w="623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序号</w:t>
            </w:r>
          </w:p>
        </w:tc>
        <w:tc>
          <w:tcPr>
            <w:tcW w:w="18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不规则类型</w:t>
            </w:r>
          </w:p>
        </w:tc>
        <w:tc>
          <w:tcPr>
            <w:tcW w:w="6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简要含义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</w:t>
            </w:r>
          </w:p>
        </w:tc>
        <w:tc>
          <w:tcPr>
            <w:tcW w:w="1815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扭转不规则</w:t>
            </w:r>
          </w:p>
        </w:tc>
        <w:tc>
          <w:tcPr>
            <w:tcW w:w="6230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考虑偶然偏心距的扭转比大于1.2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2a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凹凸不规则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平面凹凸尺寸大于相应边长的30%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2b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组合平面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细腰形或者角部折叠形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楼板不连续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有效宽度小于50%，开动面积大于30%，错层大于梁高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4a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侧向刚度不规则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该层侧向刚度小于上层侧向刚度的80%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4b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尺寸突变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竖向构件位置缩进大于25%或外凸大于10%和4米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5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竖向构件不连续</w:t>
            </w:r>
          </w:p>
        </w:tc>
        <w:tc>
          <w:tcPr>
            <w:tcW w:w="62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上下墙，柱支撑不连续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6</w:t>
            </w:r>
          </w:p>
        </w:tc>
        <w:tc>
          <w:tcPr>
            <w:tcW w:w="1815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承载力不连续</w:t>
            </w:r>
          </w:p>
        </w:tc>
        <w:tc>
          <w:tcPr>
            <w:tcW w:w="6230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相邻层受剪承载力变化大于75%</w:t>
            </w:r>
          </w:p>
        </w:tc>
      </w:tr>
    </w:tbl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条件2：当建筑工程符合下表中的一项不规则时，都应做超限审查。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tbl>
      <w:tblPr>
        <w:tblStyle w:val="5"/>
        <w:tblW w:w="885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1"/>
        <w:gridCol w:w="1820"/>
        <w:gridCol w:w="6225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不规则类型</w:t>
            </w:r>
          </w:p>
        </w:tc>
        <w:tc>
          <w:tcPr>
            <w:tcW w:w="6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简要含义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single" w:color="auto" w:sz="4" w:space="0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</w:t>
            </w:r>
          </w:p>
        </w:tc>
        <w:tc>
          <w:tcPr>
            <w:tcW w:w="1820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扭转偏大</w:t>
            </w:r>
          </w:p>
        </w:tc>
        <w:tc>
          <w:tcPr>
            <w:tcW w:w="6225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裙房以上楼层数考录偶然偏心的扭矩位移比大于1.5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层刚度偏小</w:t>
            </w:r>
          </w:p>
        </w:tc>
        <w:tc>
          <w:tcPr>
            <w:tcW w:w="622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相邻上层的侧向刚度大于本层的50%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层高转换</w:t>
            </w:r>
          </w:p>
        </w:tc>
        <w:tc>
          <w:tcPr>
            <w:tcW w:w="622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框支墙体的转换构件位置：7度超过5层，8度超过3层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板厚转换</w:t>
            </w:r>
          </w:p>
        </w:tc>
        <w:tc>
          <w:tcPr>
            <w:tcW w:w="622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7-8度设防的板厚转换结构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复杂连接</w:t>
            </w:r>
          </w:p>
        </w:tc>
        <w:tc>
          <w:tcPr>
            <w:tcW w:w="622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各部分层数、刚度、布置不同的错层、连体两端塔楼高度、体型或者沿大底盘某个主轴方向的振动周期显著不同的结构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1" w:type="dxa"/>
            <w:tcBorders>
              <w:top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6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多重复</w:t>
            </w:r>
          </w:p>
        </w:tc>
        <w:tc>
          <w:tcPr>
            <w:tcW w:w="6225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同时具有加强层、错层、转换层和连体等复杂的结构类型达3种及以上</w:t>
            </w:r>
          </w:p>
        </w:tc>
      </w:tr>
    </w:tbl>
    <w:p>
      <w:pPr>
        <w:spacing w:beforeLines="0" w:afterLines="0"/>
        <w:rPr>
          <w:rFonts w:hint="default" w:eastAsia="等线"/>
          <w:sz w:val="28"/>
        </w:rPr>
      </w:pPr>
      <w:r>
        <w:rPr>
          <w:rFonts w:hint="eastAsia" w:ascii="STFangsong" w:hAnsi="STFangsong" w:eastAsia="STFangsong"/>
          <w:sz w:val="28"/>
        </w:rPr>
        <w:t>即满足条件1和条件2任意一条，都需要做超限审查</w:t>
      </w:r>
      <w:r>
        <w:rPr>
          <w:rFonts w:hint="eastAsia" w:eastAsia="等线"/>
          <w:sz w:val="28"/>
        </w:rPr>
        <w:t>[</w:t>
      </w:r>
      <w:r>
        <w:rPr>
          <w:rFonts w:hint="eastAsia" w:eastAsia="等线"/>
          <w:color w:val="FF0000"/>
          <w:sz w:val="28"/>
        </w:rPr>
        <w:t>蔡静敏4</w:t>
      </w:r>
      <w:r>
        <w:rPr>
          <w:rFonts w:hint="eastAsia" w:eastAsia="等线"/>
          <w:sz w:val="28"/>
        </w:rPr>
        <w:t>]。</w:t>
      </w:r>
    </w:p>
    <w:p>
      <w:pPr>
        <w:spacing w:beforeLines="0" w:afterLines="0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 xml:space="preserve">3.2.1 </w:t>
      </w:r>
      <w:r>
        <w:rPr>
          <w:rFonts w:hint="eastAsia" w:ascii="STFangsong" w:hAnsi="STFangsong" w:eastAsia="STFangsong"/>
          <w:sz w:val="28"/>
        </w:rPr>
        <w:t>超限结构，在一层楼板开洞，洞口长为36米，宽27米。一层楼主体结构宽为43.6米，长为54米。超出规范规定的b/B&gt;=0.3[吕西林，超限高层建筑结构设计抗震设计的若干问题]。本层为大开洞，开洞面积约950平米（缝左侧总面积约为2400平米），占总面积的40%；开洞宽度占总宽的的60%。因此一层楼板属于平面规则性超限工程。具体结构布置如下图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257800" cy="2891155"/>
            <wp:effectExtent l="0" t="0" r="0" b="444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图4：一层楼顶超限情况</w:t>
      </w:r>
    </w:p>
    <w:p>
      <w:pPr>
        <w:spacing w:beforeLines="0" w:afterLines="0"/>
        <w:rPr>
          <w:rFonts w:hint="default" w:eastAsia="等线"/>
          <w:sz w:val="28"/>
        </w:rPr>
      </w:pPr>
      <w:r>
        <w:rPr>
          <w:rFonts w:hint="eastAsia" w:ascii="STFangsong" w:hAnsi="STFangsong" w:eastAsia="STFangsong"/>
          <w:sz w:val="28"/>
        </w:rPr>
        <w:t>第二层结构布置如下所示：在左侧有悬挑6.0米，楼板开洞和第一层相同，右侧开通面积长27.8米，宽18米，开洞面积比例约为55%。依据</w:t>
      </w:r>
      <w:r>
        <w:rPr>
          <w:rFonts w:hint="eastAsia" w:eastAsia="等线"/>
          <w:color w:val="FF0000"/>
          <w:sz w:val="28"/>
        </w:rPr>
        <w:t>规范和[吕西林，超限高层建筑结构设计抗震设计的若干问题]</w:t>
      </w:r>
      <w:r>
        <w:rPr>
          <w:rFonts w:hint="eastAsia" w:ascii="STFangsong" w:hAnsi="STFangsong" w:eastAsia="STFangsong"/>
          <w:sz w:val="28"/>
        </w:rPr>
        <w:t>该层超限。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4996180" cy="2527935"/>
            <wp:effectExtent l="0" t="0" r="2540" b="190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图5：二层超限说明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eastAsia="等线"/>
          <w:sz w:val="28"/>
        </w:rPr>
        <w:t xml:space="preserve">  </w:t>
      </w:r>
      <w:r>
        <w:rPr>
          <w:rFonts w:hint="eastAsia" w:ascii="STFangsong" w:hAnsi="STFangsong" w:eastAsia="STFangsong"/>
          <w:sz w:val="28"/>
        </w:rPr>
        <w:t>三层不规则的形式如同第一层</w:t>
      </w:r>
      <w:r>
        <w:rPr>
          <w:rFonts w:hint="default" w:ascii="STFangsong" w:hAnsi="STFangsong" w:eastAsia="STFangsong"/>
          <w:sz w:val="28"/>
        </w:rPr>
        <w:t>,</w:t>
      </w:r>
      <w:r>
        <w:rPr>
          <w:rFonts w:hint="eastAsia" w:ascii="STFangsong" w:hAnsi="STFangsong" w:eastAsia="STFangsong"/>
          <w:sz w:val="28"/>
        </w:rPr>
        <w:t>洞口左侧有长26.9米，宽16米的采光屋顶面。采用钢绗架结构。钢绗架跨度26.9米。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146040" cy="2602865"/>
            <wp:effectExtent l="0" t="0" r="5080" b="317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b="5893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图6：三层超限布置图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四层结构布置如下所示：虚线内框架柱做为五层桁架层支点，为提高该层刚度，将相邻柱子一并升至桁架底，并采用框架梁连接。其跨度有37.2米。且四层对五层的支撑为滑动支撑，为刚度突变。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2141855" cy="2523490"/>
            <wp:effectExtent l="0" t="0" r="6985" b="635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图7：四层结构布置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3115310" cy="2359660"/>
            <wp:effectExtent l="0" t="0" r="8890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>图8：四层对五层的支撑结构布置</w:t>
      </w:r>
    </w:p>
    <w:p>
      <w:pPr>
        <w:spacing w:beforeLines="0" w:afterLines="0"/>
        <w:rPr>
          <w:rFonts w:hint="default" w:eastAsia="等线"/>
          <w:sz w:val="28"/>
        </w:rPr>
      </w:pPr>
      <w:r>
        <w:rPr>
          <w:rFonts w:hint="eastAsia" w:eastAsia="等线"/>
          <w:sz w:val="28"/>
        </w:rPr>
        <w:t xml:space="preserve">  </w:t>
      </w:r>
      <w:r>
        <w:rPr>
          <w:rFonts w:hint="eastAsia" w:ascii="STFangsong" w:hAnsi="STFangsong" w:eastAsia="STFangsong"/>
          <w:sz w:val="28"/>
        </w:rPr>
        <w:t>五层结构说明：五层平面受四层支撑，支撑结构如上图8所示，五层结构布置如下，虚线内为该层的支撑住。</w:t>
      </w:r>
    </w:p>
    <w:p>
      <w:pPr>
        <w:spacing w:beforeLines="0" w:afterLines="0"/>
        <w:jc w:val="center"/>
        <w:rPr>
          <w:rFonts w:hint="default" w:eastAsia="等线"/>
          <w:sz w:val="28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3787140" cy="3771265"/>
            <wp:effectExtent l="0" t="0" r="7620" b="825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t="4549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图9：五层结构布置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总结：综上所述，该工程存在的不规则性有，平面不规则，竖向不规则，大悬挑等超限问题。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1、该工程包含多重不规则，框架结构竖向刚度较弱，拟增设部分斜撑或屈曲约束支撑加强刚度，剪力墙是否设置根据后续计算情况另行确定。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2、该结构除构造加强外，计算时部分竖向抗侧力构件考虑中震不屈服（或者中震弹性）。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3、因五层为空间桁架结构，刚度非常大，四层部分竖向构件仅有16根KZ（拟增设斜撑或屈曲约束支撑），刚度比及楼层承载力之比难以满足规范要求，拟采用滑动支座进行连接。</w:t>
      </w: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3.3</w:t>
      </w:r>
      <w:r>
        <w:rPr>
          <w:rFonts w:hint="eastAsia"/>
          <w:sz w:val="32"/>
        </w:rPr>
        <w:t>超限部位的对应措施和设计方法</w:t>
      </w:r>
    </w:p>
    <w:p>
      <w:pPr>
        <w:pStyle w:val="4"/>
        <w:spacing w:beforeLines="0" w:afterLines="0"/>
        <w:rPr>
          <w:rFonts w:hint="default" w:eastAsia="Times New Roman"/>
          <w:sz w:val="28"/>
        </w:rPr>
      </w:pPr>
      <w:r>
        <w:rPr>
          <w:rFonts w:hint="eastAsia" w:eastAsia="等线"/>
          <w:sz w:val="28"/>
        </w:rPr>
        <w:t>3.3.1</w:t>
      </w:r>
      <w:r>
        <w:rPr>
          <w:rFonts w:hint="eastAsia"/>
          <w:sz w:val="28"/>
        </w:rPr>
        <w:t>对于开洞，大悬挑超限部位的对应措施和设计方法</w:t>
      </w:r>
    </w:p>
    <w:p>
      <w:pPr>
        <w:spacing w:beforeLines="0" w:afterLines="0"/>
        <w:ind w:firstLine="72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1对于开洞，有一层，二层，三层，四层。对洞口边缘的框架梁适当加大截面尺寸、周边现浇板板厚增大到160mm，全部采用双层双向配筋。</w:t>
      </w:r>
    </w:p>
    <w:p>
      <w:pPr>
        <w:spacing w:beforeLines="0" w:afterLines="0"/>
        <w:ind w:firstLine="72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2对于大悬挑，一层二层均有6米的大悬挑。对挑梁端部及相邻一跨的框架柱增设芯柱或加设型钢，形成型钢暗框架。框架柱满足中震弹性。</w:t>
      </w:r>
    </w:p>
    <w:p>
      <w:pPr>
        <w:spacing w:beforeLines="0" w:afterLines="0"/>
        <w:ind w:firstLine="72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3五层钢桁架楼层考虑8个框架柱的重要性，拟在四层采用增设屈曲约束支撑或斜撑增强刚度，加强框架柱的抗震性能及耗能能力。框架柱计算全部采用中震弹性。构造上提高抗震等级及加设芯柱作为安全储备。</w:t>
      </w:r>
    </w:p>
    <w:p>
      <w:pPr>
        <w:pStyle w:val="4"/>
        <w:spacing w:beforeLines="0" w:afterLines="0"/>
        <w:rPr>
          <w:rFonts w:hint="default" w:eastAsia="Times New Roman"/>
          <w:sz w:val="28"/>
        </w:rPr>
      </w:pPr>
      <w:r>
        <w:rPr>
          <w:rFonts w:hint="eastAsia" w:eastAsia="等线"/>
          <w:sz w:val="28"/>
        </w:rPr>
        <w:t xml:space="preserve">3.3.2 </w:t>
      </w:r>
      <w:r>
        <w:rPr>
          <w:rFonts w:hint="eastAsia"/>
          <w:sz w:val="28"/>
        </w:rPr>
        <w:t>对于刚度突变层的对应措施</w:t>
      </w:r>
    </w:p>
    <w:p>
      <w:pPr>
        <w:spacing w:beforeLines="0" w:afterLines="0"/>
        <w:ind w:firstLine="72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4四层对五层支撑的滑动制作的设计：根据桁架的计算假定及支座反力情况，两端采用位移有限值的滑动支座。经多种方案比较，考虑限位支座的永久性等多方面因素，采用在钢结构工程及路桥工程上广泛使用的球形钢支座。GQZ球型钢支座传力可靠，转动灵活，承载力高，允许位移量大，能够满足支座大转角的需要。可以保证滑动支座在正常使用情况下及罕遇地震下的滑移量要求，并释放可能发生的伸缩变形，从而基本消除结构自身因温差效应，风荷载等对主体结构造成的影响。滑动支座的布置图如下所示：</w:t>
      </w:r>
    </w:p>
    <w:p>
      <w:pPr>
        <w:spacing w:beforeLines="0" w:afterLines="0"/>
        <w:rPr>
          <w:rFonts w:hint="default" w:eastAsia="Times New Roman"/>
          <w:sz w:val="21"/>
        </w:rPr>
      </w:pPr>
      <w:r>
        <w:rPr>
          <w:rFonts w:hint="default" w:eastAsia="等线"/>
          <w:sz w:val="28"/>
        </w:rPr>
        <w:drawing>
          <wp:inline distT="0" distB="0" distL="114300" distR="114300">
            <wp:extent cx="5277485" cy="2931795"/>
            <wp:effectExtent l="0" t="0" r="10795" b="952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3.4</w:t>
      </w:r>
      <w:r>
        <w:rPr>
          <w:rFonts w:hint="eastAsia"/>
          <w:sz w:val="32"/>
        </w:rPr>
        <w:t>结构的荷载情况说明</w:t>
      </w:r>
    </w:p>
    <w:p>
      <w:pPr>
        <w:spacing w:beforeLines="0" w:afterLines="0"/>
        <w:ind w:firstLine="280" w:firstLineChars="10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楼面活荷载及恒荷载依据《建筑结构荷载规范》取。</w:t>
      </w:r>
    </w:p>
    <w:p>
      <w:pPr>
        <w:spacing w:beforeLines="0" w:afterLines="0"/>
        <w:ind w:firstLine="280" w:firstLineChars="10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活荷载：</w:t>
      </w:r>
    </w:p>
    <w:tbl>
      <w:tblPr>
        <w:tblStyle w:val="5"/>
        <w:tblW w:w="8296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tcBorders>
              <w:top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类别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4148" w:type="dxa"/>
            <w:tcBorders>
              <w:top w:val="single" w:color="auto" w:sz="4" w:space="0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楼面活荷载折减方式</w:t>
            </w:r>
          </w:p>
        </w:tc>
        <w:tc>
          <w:tcPr>
            <w:tcW w:w="4148" w:type="dxa"/>
            <w:tcBorders>
              <w:top w:val="single" w:color="auto" w:sz="4" w:space="0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传统方式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柱、墙设计时活荷载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不折减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传给基础的活荷载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柱、墙、基础活荷载折减系数：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计算截面以上层数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折减系数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2-3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0.85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4-5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0.70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6-8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9-20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20层以上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0.55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梁楼面活荷载折减设置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不折减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梁活荷不利布置的最高层号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single" w:color="auto" w:sz="4" w:space="0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墙、柱设计时消防车荷载</w:t>
            </w:r>
          </w:p>
        </w:tc>
        <w:tc>
          <w:tcPr>
            <w:tcW w:w="4148" w:type="dxa"/>
            <w:tcBorders>
              <w:top w:val="nil"/>
              <w:bottom w:val="single" w:color="auto" w:sz="4" w:space="0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折减</w:t>
            </w:r>
          </w:p>
        </w:tc>
      </w:tr>
    </w:tbl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风荷载：</w:t>
      </w:r>
    </w:p>
    <w:p>
      <w:pPr>
        <w:spacing w:beforeLines="0" w:afterLines="0"/>
        <w:ind w:firstLine="280" w:firstLineChars="10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依据荷载规范[</w:t>
      </w:r>
      <w:r>
        <w:rPr>
          <w:rFonts w:hint="eastAsia" w:ascii="STFangsong" w:hAnsi="STFangsong" w:eastAsia="STFangsong"/>
          <w:color w:val="FF0000"/>
          <w:sz w:val="28"/>
        </w:rPr>
        <w:t>荷载规范</w:t>
      </w:r>
      <w:r>
        <w:rPr>
          <w:rFonts w:hint="eastAsia" w:ascii="STFangsong" w:hAnsi="STFangsong" w:eastAsia="STFangsong"/>
          <w:sz w:val="28"/>
        </w:rPr>
        <w:t>]，东营地区的荷载计算参数如下：</w:t>
      </w:r>
    </w:p>
    <w:tbl>
      <w:tblPr>
        <w:tblStyle w:val="5"/>
        <w:tblW w:w="8296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tcBorders>
              <w:top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类别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4148" w:type="dxa"/>
            <w:tcBorders>
              <w:top w:val="single" w:color="auto" w:sz="4" w:space="0"/>
              <w:bottom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修正后的基本风压（kN/m2）</w:t>
            </w:r>
          </w:p>
        </w:tc>
        <w:tc>
          <w:tcPr>
            <w:tcW w:w="4148" w:type="dxa"/>
            <w:tcBorders>
              <w:top w:val="single" w:color="auto" w:sz="4" w:space="0"/>
              <w:bottom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0.13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X向结构基本周期（秒）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Y向结构基本周期（秒）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风荷载作用下结构的阻尼比（%）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5.00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承载力设计时风荷载效应放大系数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用于舒适度验算的风压（kN/m2）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用于舒适度验算的结构阻尼比（%）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2.00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考虑顺风向风振影响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考虑横风向风振影响</w:t>
            </w:r>
          </w:p>
        </w:tc>
        <w:tc>
          <w:tcPr>
            <w:tcW w:w="4148" w:type="dxa"/>
            <w:tcBorders>
              <w:top w:val="nil"/>
              <w:bottom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否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single" w:color="auto" w:sz="4" w:space="0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考虑扭转风振影响</w:t>
            </w:r>
          </w:p>
        </w:tc>
        <w:tc>
          <w:tcPr>
            <w:tcW w:w="4148" w:type="dxa"/>
            <w:tcBorders>
              <w:top w:val="nil"/>
              <w:bottom w:val="single" w:color="auto" w:sz="4" w:space="0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否</w:t>
            </w:r>
          </w:p>
        </w:tc>
      </w:tr>
    </w:tbl>
    <w:p>
      <w:pPr>
        <w:spacing w:beforeLines="0" w:afterLines="0"/>
        <w:jc w:val="center"/>
        <w:rPr>
          <w:rFonts w:hint="eastAsia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表1</w:t>
      </w:r>
    </w:p>
    <w:p>
      <w:pPr>
        <w:spacing w:beforeLines="0" w:afterLines="0"/>
        <w:jc w:val="left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地震信息</w:t>
      </w:r>
    </w:p>
    <w:p>
      <w:pPr>
        <w:pStyle w:val="7"/>
        <w:spacing w:beforeLines="0" w:afterLines="0"/>
        <w:ind w:left="420" w:firstLine="0" w:firstLineChars="0"/>
        <w:jc w:val="left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依据抗震规范[</w:t>
      </w:r>
      <w:r>
        <w:rPr>
          <w:rFonts w:hint="eastAsia" w:ascii="STFangsong" w:hAnsi="STFangsong" w:eastAsia="STFangsong"/>
          <w:color w:val="FF0000"/>
          <w:sz w:val="28"/>
        </w:rPr>
        <w:t>抗震规范</w:t>
      </w:r>
      <w:r>
        <w:rPr>
          <w:rFonts w:hint="eastAsia" w:ascii="STFangsong" w:hAnsi="STFangsong" w:eastAsia="STFangsong"/>
          <w:sz w:val="28"/>
        </w:rPr>
        <w:t>]，考虑三水准设防标准，建筑物分类参数如下表：</w:t>
      </w:r>
    </w:p>
    <w:tbl>
      <w:tblPr>
        <w:tblStyle w:val="5"/>
        <w:tblW w:w="788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46"/>
        <w:gridCol w:w="3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7"/>
              <w:spacing w:beforeLines="0" w:afterLines="0"/>
              <w:ind w:firstLine="0" w:firstLineChar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参数</w:t>
            </w:r>
          </w:p>
        </w:tc>
        <w:tc>
          <w:tcPr>
            <w:tcW w:w="394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7"/>
              <w:spacing w:beforeLines="0" w:afterLines="0"/>
              <w:ind w:firstLine="0" w:firstLineChar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指标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7"/>
              <w:spacing w:beforeLines="0" w:afterLines="0"/>
              <w:ind w:firstLine="0" w:firstLineChar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结构重要性系数</w:t>
            </w:r>
          </w:p>
        </w:tc>
        <w:tc>
          <w:tcPr>
            <w:tcW w:w="3940" w:type="dxa"/>
            <w:tcBorders>
              <w:top w:val="single" w:color="auto" w:sz="4" w:space="0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7"/>
              <w:spacing w:beforeLines="0" w:afterLines="0"/>
              <w:ind w:firstLine="0" w:firstLineChars="0"/>
              <w:jc w:val="center"/>
              <w:rPr>
                <w:rFonts w:hint="eastAsia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结构规则性信息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不规则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设防地震分组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第三组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设防烈度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7（0.1g）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场地类别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III类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砼框架抗震等级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3  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剪力墙抗震等级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2  二级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钢框架抗震等级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3  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抗震构造措施的抗震等级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不改变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考虑双向地震作用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考虑偶然偏心的方式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相对于边长的偶然偏心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X向相对偶然偏心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Y向相对偶然偏心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重力荷载代表值的活载组合值系数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周期折减系数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特征周期（秒）</w:t>
            </w:r>
          </w:p>
        </w:tc>
        <w:tc>
          <w:tcPr>
            <w:tcW w:w="3940" w:type="dxa"/>
            <w:tcBorders>
              <w:top w:val="nil"/>
              <w:left w:val="nil"/>
              <w:bottom w:val="single" w:color="auto" w:sz="4" w:space="0"/>
              <w:right w:val="nil"/>
              <w:tl2br w:val="nil"/>
              <w:tr2bl w:val="nil"/>
            </w:tcBorders>
            <w:noWrap w:val="0"/>
            <w:vAlign w:val="bottom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0.65</w:t>
            </w:r>
          </w:p>
        </w:tc>
      </w:tr>
    </w:tbl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sz w:val="28"/>
        </w:rPr>
        <w:t>荷载组合系数：</w:t>
      </w:r>
    </w:p>
    <w:p>
      <w:pPr>
        <w:spacing w:before="271" w:beforeLines="113" w:after="271" w:afterLines="113" w:line="113" w:lineRule="auto"/>
        <w:jc w:val="center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b/>
          <w:color w:val="000000"/>
          <w:sz w:val="28"/>
          <w:shd w:val="clear" w:color="auto" w:fill="FFFFFF"/>
        </w:rPr>
        <w:t>表4-2 永久荷载信息</w:t>
      </w:r>
    </w:p>
    <w:tbl>
      <w:tblPr>
        <w:tblStyle w:val="5"/>
        <w:tblW w:w="7052" w:type="dxa"/>
        <w:jc w:val="center"/>
        <w:tblInd w:w="0" w:type="dxa"/>
        <w:tblBorders>
          <w:top w:val="single" w:color="auto" w:sz="18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18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1411"/>
        <w:gridCol w:w="1410"/>
        <w:gridCol w:w="1410"/>
        <w:gridCol w:w="141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1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411" w:type="dxa"/>
            <w:tcBorders>
              <w:top w:val="single" w:color="auto" w:sz="14" w:space="0"/>
              <w:left w:val="nil"/>
              <w:bottom w:val="single" w:color="auto" w:sz="14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工况名称</w:t>
            </w:r>
          </w:p>
        </w:tc>
        <w:tc>
          <w:tcPr>
            <w:tcW w:w="1411" w:type="dxa"/>
            <w:tcBorders>
              <w:top w:val="single" w:color="auto" w:sz="14" w:space="0"/>
              <w:left w:val="nil"/>
              <w:bottom w:val="single" w:color="auto" w:sz="14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分项系数(不利主控)</w:t>
            </w:r>
          </w:p>
        </w:tc>
        <w:tc>
          <w:tcPr>
            <w:tcW w:w="1410" w:type="dxa"/>
            <w:tcBorders>
              <w:top w:val="single" w:color="auto" w:sz="14" w:space="0"/>
              <w:left w:val="nil"/>
              <w:bottom w:val="single" w:color="auto" w:sz="14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分项系数(不利非主控)</w:t>
            </w:r>
          </w:p>
        </w:tc>
        <w:tc>
          <w:tcPr>
            <w:tcW w:w="1410" w:type="dxa"/>
            <w:tcBorders>
              <w:top w:val="single" w:color="auto" w:sz="14" w:space="0"/>
              <w:left w:val="nil"/>
              <w:bottom w:val="single" w:color="auto" w:sz="14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分项系数(有利)</w:t>
            </w:r>
          </w:p>
        </w:tc>
        <w:tc>
          <w:tcPr>
            <w:tcW w:w="1410" w:type="dxa"/>
            <w:tcBorders>
              <w:top w:val="single" w:color="auto" w:sz="14" w:space="0"/>
              <w:left w:val="nil"/>
              <w:bottom w:val="single" w:color="auto" w:sz="14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重力荷载代表值系数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1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1411" w:type="dxa"/>
            <w:tcBorders>
              <w:top w:val="single" w:color="auto" w:sz="18" w:space="0"/>
              <w:bottom w:val="single" w:color="auto" w:sz="4" w:space="0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恒荷载</w:t>
            </w:r>
          </w:p>
        </w:tc>
        <w:tc>
          <w:tcPr>
            <w:tcW w:w="1411" w:type="dxa"/>
            <w:tcBorders>
              <w:top w:val="single" w:color="auto" w:sz="18" w:space="0"/>
              <w:bottom w:val="single" w:color="auto" w:sz="4" w:space="0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1.35</w:t>
            </w:r>
          </w:p>
        </w:tc>
        <w:tc>
          <w:tcPr>
            <w:tcW w:w="1410" w:type="dxa"/>
            <w:tcBorders>
              <w:top w:val="single" w:color="auto" w:sz="18" w:space="0"/>
              <w:bottom w:val="single" w:color="auto" w:sz="4" w:space="0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1.20</w:t>
            </w:r>
          </w:p>
        </w:tc>
        <w:tc>
          <w:tcPr>
            <w:tcW w:w="1410" w:type="dxa"/>
            <w:tcBorders>
              <w:top w:val="single" w:color="auto" w:sz="18" w:space="0"/>
              <w:bottom w:val="single" w:color="auto" w:sz="4" w:space="0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1.00</w:t>
            </w:r>
          </w:p>
        </w:tc>
        <w:tc>
          <w:tcPr>
            <w:tcW w:w="1410" w:type="dxa"/>
            <w:tcBorders>
              <w:top w:val="single" w:color="auto" w:sz="18" w:space="0"/>
              <w:bottom w:val="single" w:color="auto" w:sz="4" w:space="0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1.00</w:t>
            </w:r>
          </w:p>
        </w:tc>
      </w:tr>
    </w:tbl>
    <w:p>
      <w:pPr>
        <w:spacing w:before="271" w:beforeLines="113" w:after="271" w:afterLines="113" w:line="113" w:lineRule="auto"/>
        <w:jc w:val="center"/>
        <w:rPr>
          <w:rFonts w:hint="default" w:ascii="STFangsong" w:hAnsi="STFangsong" w:eastAsia="STFangsong"/>
          <w:b/>
          <w:color w:val="000000"/>
          <w:sz w:val="28"/>
          <w:shd w:val="clear" w:color="auto" w:fill="FFFFFF"/>
        </w:rPr>
      </w:pPr>
    </w:p>
    <w:p>
      <w:pPr>
        <w:spacing w:before="271" w:beforeLines="113" w:after="271" w:afterLines="113" w:line="113" w:lineRule="auto"/>
        <w:jc w:val="center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b/>
          <w:color w:val="000000"/>
          <w:sz w:val="28"/>
          <w:shd w:val="clear" w:color="auto" w:fill="FFFFFF"/>
        </w:rPr>
        <w:t>表4-3 可变荷载信息</w:t>
      </w:r>
    </w:p>
    <w:tbl>
      <w:tblPr>
        <w:tblStyle w:val="5"/>
        <w:tblW w:w="7187" w:type="dxa"/>
        <w:jc w:val="center"/>
        <w:tblInd w:w="0" w:type="dxa"/>
        <w:tblBorders>
          <w:top w:val="single" w:color="auto" w:sz="4" w:space="0"/>
          <w:left w:val="single" w:color="auto" w:sz="14" w:space="0"/>
          <w:bottom w:val="single" w:color="auto" w:sz="14" w:space="0"/>
          <w:right w:val="single" w:color="auto" w:sz="1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1438"/>
        <w:gridCol w:w="1437"/>
        <w:gridCol w:w="1437"/>
        <w:gridCol w:w="1437"/>
      </w:tblGrid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438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工况名称</w:t>
            </w:r>
          </w:p>
        </w:tc>
        <w:tc>
          <w:tcPr>
            <w:tcW w:w="1438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抗震组合值系数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组合值系数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重力荷载代表值系数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1438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活荷载</w:t>
            </w:r>
          </w:p>
        </w:tc>
        <w:tc>
          <w:tcPr>
            <w:tcW w:w="1438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default" w:ascii="STFangsong" w:hAnsi="STFangsong" w:eastAsia="STFangsong"/>
                <w:color w:val="000000"/>
                <w:sz w:val="28"/>
                <w:shd w:val="clear" w:color="auto" w:fill="FFFFFF"/>
              </w:rPr>
              <w:t>--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0.70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38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风荷载</w:t>
            </w:r>
          </w:p>
        </w:tc>
        <w:tc>
          <w:tcPr>
            <w:tcW w:w="1438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0.20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0.60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default" w:ascii="STFangsong" w:hAnsi="STFangsong" w:eastAsia="STFangsong"/>
                <w:color w:val="000000"/>
                <w:sz w:val="28"/>
                <w:shd w:val="clear" w:color="auto" w:fill="FFFFFF"/>
              </w:rPr>
              <w:t>0.00</w:t>
            </w:r>
          </w:p>
        </w:tc>
      </w:tr>
    </w:tbl>
    <w:p>
      <w:pPr>
        <w:spacing w:before="271" w:beforeLines="113" w:after="271" w:afterLines="113" w:line="113" w:lineRule="auto"/>
        <w:jc w:val="center"/>
        <w:rPr>
          <w:rFonts w:hint="default" w:ascii="STFangsong" w:hAnsi="STFangsong" w:eastAsia="STFangsong"/>
          <w:b/>
          <w:color w:val="000000"/>
          <w:sz w:val="28"/>
          <w:shd w:val="clear" w:color="auto" w:fill="FFFFFF"/>
        </w:rPr>
      </w:pPr>
    </w:p>
    <w:p>
      <w:pPr>
        <w:spacing w:before="271" w:beforeLines="113" w:after="271" w:afterLines="113" w:line="113" w:lineRule="auto"/>
        <w:jc w:val="center"/>
        <w:rPr>
          <w:rFonts w:hint="default" w:ascii="STFangsong" w:hAnsi="STFangsong" w:eastAsia="STFangsong"/>
          <w:sz w:val="28"/>
        </w:rPr>
      </w:pPr>
      <w:r>
        <w:rPr>
          <w:rFonts w:hint="eastAsia" w:ascii="STFangsong" w:hAnsi="STFangsong" w:eastAsia="STFangsong"/>
          <w:b/>
          <w:color w:val="000000"/>
          <w:sz w:val="28"/>
          <w:shd w:val="clear" w:color="auto" w:fill="FFFFFF"/>
        </w:rPr>
        <w:t>表4-4 地震作用信息</w:t>
      </w:r>
    </w:p>
    <w:tbl>
      <w:tblPr>
        <w:tblStyle w:val="5"/>
        <w:tblW w:w="7229" w:type="dxa"/>
        <w:jc w:val="center"/>
        <w:tblInd w:w="0" w:type="dxa"/>
        <w:tblBorders>
          <w:top w:val="single" w:color="auto" w:sz="4" w:space="0"/>
          <w:left w:val="single" w:color="auto" w:sz="14" w:space="0"/>
          <w:bottom w:val="single" w:color="auto" w:sz="14" w:space="0"/>
          <w:right w:val="single" w:color="auto" w:sz="1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2410"/>
        <w:gridCol w:w="2410"/>
      </w:tblGrid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tblHeader/>
          <w:jc w:val="center"/>
        </w:trPr>
        <w:tc>
          <w:tcPr>
            <w:tcW w:w="2409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工况名称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分项系数(主控)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分项系数(非主控)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center"/>
        </w:trPr>
        <w:tc>
          <w:tcPr>
            <w:tcW w:w="2409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竖向地震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nil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center"/>
        </w:trPr>
        <w:tc>
          <w:tcPr>
            <w:tcW w:w="2409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水平地震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18" w:space="0"/>
              <w:right w:val="nil"/>
              <w:tl2br w:val="nil"/>
              <w:tr2bl w:val="nil"/>
            </w:tcBorders>
            <w:shd w:val="clear" w:color="auto" w:fill="FFFFFF"/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color w:val="000000"/>
                <w:sz w:val="28"/>
                <w:shd w:val="clear" w:color="auto" w:fill="FFFFFF"/>
              </w:rPr>
              <w:t>0.50</w:t>
            </w:r>
          </w:p>
        </w:tc>
      </w:tr>
    </w:tbl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3.5</w:t>
      </w:r>
      <w:r>
        <w:rPr>
          <w:rFonts w:hint="eastAsia"/>
          <w:sz w:val="32"/>
        </w:rPr>
        <w:t>材料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default" w:eastAsia="Times New Roman"/>
          <w:sz w:val="21"/>
        </w:rPr>
        <w:tab/>
      </w:r>
      <w:r>
        <w:rPr>
          <w:rFonts w:hint="eastAsia" w:ascii="STFangsong" w:hAnsi="STFangsong" w:eastAsia="STFangsong"/>
          <w:sz w:val="28"/>
        </w:rPr>
        <w:t>本建筑物是钢筋混凝土结构，其使用的材料如下：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default" w:ascii="STFangsong" w:hAnsi="STFangsong" w:eastAsia="STFangsong"/>
          <w:sz w:val="28"/>
        </w:rPr>
        <w:tab/>
      </w:r>
      <w:r>
        <w:rPr>
          <w:rFonts w:hint="eastAsia" w:ascii="STFangsong" w:hAnsi="STFangsong" w:eastAsia="STFangsong"/>
          <w:sz w:val="28"/>
        </w:rPr>
        <w:t>混凝土：</w:t>
      </w:r>
      <w:r>
        <w:rPr>
          <w:rFonts w:hint="eastAsia" w:eastAsia="等线"/>
          <w:sz w:val="28"/>
        </w:rPr>
        <w:t>混凝土使用C35,依据</w:t>
      </w:r>
      <w:r>
        <w:rPr>
          <w:rFonts w:hint="eastAsia" w:eastAsia="等线"/>
          <w:color w:val="000000"/>
          <w:sz w:val="28"/>
          <w:shd w:val="clear" w:color="auto" w:fill="FFFFFF"/>
        </w:rPr>
        <w:t>《混凝土结构设计规范》(GB 50010-2010)，其参数如下表：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default" w:ascii="STFangsong" w:hAnsi="STFangsong" w:eastAsia="STFangsong"/>
          <w:sz w:val="28"/>
        </w:rPr>
        <w:tab/>
      </w:r>
      <w:r>
        <w:rPr>
          <w:rFonts w:hint="eastAsia" w:ascii="STFangsong" w:hAnsi="STFangsong" w:eastAsia="STFangsong"/>
          <w:sz w:val="28"/>
        </w:rPr>
        <w:t>表3-5-1 混凝土强度等级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1"/>
        <w:gridCol w:w="1771"/>
        <w:gridCol w:w="1771"/>
        <w:gridCol w:w="1771"/>
        <w:gridCol w:w="1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强度种类</w:t>
            </w:r>
          </w:p>
        </w:tc>
        <w:tc>
          <w:tcPr>
            <w:tcW w:w="177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标准值</w:t>
            </w:r>
          </w:p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Fck(N/mm2)</w:t>
            </w:r>
          </w:p>
        </w:tc>
        <w:tc>
          <w:tcPr>
            <w:tcW w:w="354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设计值（N/mm2）</w:t>
            </w:r>
          </w:p>
        </w:tc>
        <w:tc>
          <w:tcPr>
            <w:tcW w:w="177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弹性模量（N/mm2）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</w:p>
        </w:tc>
        <w:tc>
          <w:tcPr>
            <w:tcW w:w="177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fc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ft</w:t>
            </w:r>
          </w:p>
        </w:tc>
        <w:tc>
          <w:tcPr>
            <w:tcW w:w="177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C25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16.7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11.9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1.27</w:t>
            </w:r>
          </w:p>
        </w:tc>
        <w:tc>
          <w:tcPr>
            <w:tcW w:w="1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28000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C30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20.1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14.3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1.43</w:t>
            </w:r>
          </w:p>
        </w:tc>
        <w:tc>
          <w:tcPr>
            <w:tcW w:w="1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C35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23.4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16.7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1.57</w:t>
            </w:r>
          </w:p>
        </w:tc>
        <w:tc>
          <w:tcPr>
            <w:tcW w:w="1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31500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C40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26.8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19.1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1.71</w:t>
            </w:r>
          </w:p>
        </w:tc>
        <w:tc>
          <w:tcPr>
            <w:tcW w:w="1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32500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C45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29.6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21.1</w:t>
            </w:r>
          </w:p>
        </w:tc>
        <w:tc>
          <w:tcPr>
            <w:tcW w:w="17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1.80</w:t>
            </w:r>
          </w:p>
        </w:tc>
        <w:tc>
          <w:tcPr>
            <w:tcW w:w="17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33500</w:t>
            </w:r>
          </w:p>
        </w:tc>
      </w:tr>
    </w:tbl>
    <w:p>
      <w:pPr>
        <w:spacing w:beforeLines="0" w:afterLines="0"/>
        <w:rPr>
          <w:rFonts w:hint="default" w:eastAsia="等线"/>
          <w:color w:val="000000"/>
          <w:sz w:val="28"/>
          <w:shd w:val="clear" w:color="auto" w:fill="FFFFFF"/>
        </w:rPr>
      </w:pPr>
      <w:r>
        <w:rPr>
          <w:rFonts w:hint="default" w:ascii="STFangsong" w:hAnsi="STFangsong" w:eastAsia="STFangsong"/>
          <w:sz w:val="28"/>
        </w:rPr>
        <w:tab/>
      </w:r>
      <w:r>
        <w:rPr>
          <w:rFonts w:hint="eastAsia" w:ascii="STFangsong" w:hAnsi="STFangsong" w:eastAsia="STFangsong"/>
          <w:sz w:val="28"/>
        </w:rPr>
        <w:t>钢材：</w:t>
      </w:r>
      <w:r>
        <w:rPr>
          <w:rFonts w:hint="eastAsia" w:eastAsia="等线"/>
          <w:sz w:val="28"/>
        </w:rPr>
        <w:t xml:space="preserve">   钢筋材料用HRB400、HRB335、HRB300、HRB235、HRB200，依据</w:t>
      </w:r>
      <w:r>
        <w:rPr>
          <w:rFonts w:hint="eastAsia" w:eastAsia="等线"/>
          <w:color w:val="000000"/>
          <w:sz w:val="28"/>
          <w:shd w:val="clear" w:color="auto" w:fill="FFFFFF"/>
        </w:rPr>
        <w:t>《混凝土结构设计规范》(GB 50010-2010)，其参数如下表：</w:t>
      </w: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3.6</w:t>
      </w:r>
      <w:r>
        <w:rPr>
          <w:rFonts w:hint="eastAsia"/>
          <w:sz w:val="32"/>
        </w:rPr>
        <w:t>项目设计采用的规范和依据：</w:t>
      </w:r>
    </w:p>
    <w:p>
      <w:pPr>
        <w:spacing w:beforeLines="0" w:afterLines="0"/>
        <w:rPr>
          <w:rFonts w:hint="default" w:eastAsia="Times New Roman"/>
          <w:sz w:val="21"/>
        </w:rPr>
      </w:pPr>
      <w:r>
        <w:rPr>
          <w:rFonts w:hint="default" w:eastAsia="Times New Roman"/>
          <w:sz w:val="21"/>
        </w:rPr>
        <w:tab/>
      </w:r>
      <w:r>
        <w:rPr>
          <w:rFonts w:hint="eastAsia"/>
          <w:sz w:val="21"/>
        </w:rPr>
        <w:t>项目设计时所采用的项目设计规范主要详情见下表：</w:t>
      </w:r>
    </w:p>
    <w:p>
      <w:pPr>
        <w:spacing w:beforeLines="0" w:afterLines="0"/>
        <w:jc w:val="center"/>
        <w:rPr>
          <w:rFonts w:hint="default" w:eastAsia="Times New Roman"/>
          <w:sz w:val="21"/>
        </w:rPr>
      </w:pPr>
      <w:r>
        <w:rPr>
          <w:rFonts w:hint="eastAsia"/>
          <w:sz w:val="21"/>
        </w:rPr>
        <w:t>表</w:t>
      </w:r>
      <w:r>
        <w:rPr>
          <w:rFonts w:hint="eastAsia" w:eastAsia="等线"/>
          <w:sz w:val="21"/>
        </w:rPr>
        <w:t xml:space="preserve">3-6-1 </w:t>
      </w:r>
      <w:r>
        <w:rPr>
          <w:rFonts w:hint="eastAsia"/>
          <w:sz w:val="21"/>
        </w:rPr>
        <w:t>项目设计时所采用的规范</w:t>
      </w:r>
    </w:p>
    <w:tbl>
      <w:tblPr>
        <w:tblStyle w:val="5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4803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序号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规范名称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规范编号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1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混凝土结构设计规范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GB50010-2010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2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高层技术混凝土结构技术规程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JGJ3-2010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3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建筑结构荷载规范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GB50009-2001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4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建筑抗震设计规范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GB50011-2010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5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建筑地基基础设计规范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GB50007-2002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6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建筑工程抗震性态设计通则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CECS160:2004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7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建筑抗震设防分类标准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GB50223-2008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8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建筑结构可靠度设计统一标准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GB50068-2001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9</w:t>
            </w:r>
          </w:p>
        </w:tc>
        <w:tc>
          <w:tcPr>
            <w:tcW w:w="48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砌体结构设计规范</w:t>
            </w:r>
          </w:p>
        </w:tc>
        <w:tc>
          <w:tcPr>
            <w:tcW w:w="2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nil"/>
              <w:tr2bl w:val="nil"/>
            </w:tcBorders>
            <w:noWrap w:val="0"/>
            <w:vAlign w:val="center"/>
          </w:tcPr>
          <w:p>
            <w:pPr>
              <w:spacing w:beforeLines="0" w:afterLines="0"/>
              <w:jc w:val="center"/>
              <w:rPr>
                <w:rFonts w:hint="default" w:ascii="STFangsong" w:hAnsi="STFangsong" w:eastAsia="STFangsong"/>
                <w:sz w:val="28"/>
              </w:rPr>
            </w:pPr>
            <w:r>
              <w:rPr>
                <w:rFonts w:hint="eastAsia" w:ascii="STFangsong" w:hAnsi="STFangsong" w:eastAsia="STFangsong"/>
                <w:sz w:val="28"/>
              </w:rPr>
              <w:t>GB50003-2001</w:t>
            </w:r>
          </w:p>
        </w:tc>
      </w:tr>
    </w:tbl>
    <w:p>
      <w:pPr>
        <w:spacing w:beforeLines="0" w:afterLines="0"/>
        <w:rPr>
          <w:rFonts w:hint="default" w:ascii="STFangsong" w:hAnsi="STFangsong" w:eastAsia="STFangsong"/>
          <w:sz w:val="28"/>
        </w:rPr>
      </w:pPr>
    </w:p>
    <w:p>
      <w:pPr>
        <w:spacing w:beforeLines="0" w:afterLines="0"/>
        <w:rPr>
          <w:rFonts w:hint="default" w:ascii="STFangsong" w:hAnsi="STFangsong" w:eastAsia="STFangsong"/>
          <w:sz w:val="28"/>
        </w:rPr>
      </w:pPr>
      <w:r>
        <w:rPr>
          <w:rFonts w:hint="default" w:ascii="STFangsong" w:hAnsi="STFangsong" w:eastAsia="STFangsong"/>
          <w:sz w:val="28"/>
        </w:rPr>
        <w:tab/>
      </w:r>
      <w:r>
        <w:rPr>
          <w:rFonts w:hint="eastAsia" w:ascii="STFangsong" w:hAnsi="STFangsong" w:eastAsia="STFangsong"/>
          <w:sz w:val="28"/>
        </w:rPr>
        <w:t>项目设计分析软件，采用中国建筑科学研究院PKPM系列的SATWE和美国CSI公司出版的ETABS进行分析设计。</w:t>
      </w:r>
    </w:p>
    <w:p>
      <w:pPr>
        <w:pStyle w:val="3"/>
        <w:spacing w:beforeLines="0" w:afterLines="0"/>
        <w:rPr>
          <w:rFonts w:hint="default" w:eastAsia="Times New Roman"/>
          <w:sz w:val="32"/>
        </w:rPr>
      </w:pPr>
      <w:r>
        <w:rPr>
          <w:rFonts w:hint="eastAsia" w:eastAsia="等线"/>
          <w:sz w:val="32"/>
        </w:rPr>
        <w:t>3.7</w:t>
      </w:r>
      <w:r>
        <w:rPr>
          <w:rFonts w:hint="eastAsia"/>
          <w:sz w:val="32"/>
        </w:rPr>
        <w:t>本章小结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TFangsong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23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iPriority="9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0"/>
    <w:pPr>
      <w:widowControl w:val="0"/>
      <w:spacing w:beforeLines="0" w:afterLines="0"/>
      <w:jc w:val="both"/>
    </w:pPr>
    <w:rPr>
      <w:rFonts w:hint="eastAsia" w:ascii="等线" w:hAnsi="等线" w:eastAsia="等线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unhideWhenUsed/>
    <w:qFormat/>
    <w:uiPriority w:val="9"/>
    <w:pPr>
      <w:keepNext/>
      <w:keepLines/>
      <w:spacing w:before="340" w:beforeLines="0" w:after="330" w:afterLines="0" w:line="578" w:lineRule="auto"/>
      <w:outlineLvl w:val="0"/>
    </w:pPr>
    <w:rPr>
      <w:rFonts w:hint="eastAsia"/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9"/>
    <w:pPr>
      <w:keepNext/>
      <w:keepLines/>
      <w:spacing w:before="260" w:beforeLines="0" w:after="260" w:afterLines="0" w:line="416" w:lineRule="auto"/>
      <w:outlineLvl w:val="2"/>
    </w:pPr>
    <w:rPr>
      <w:rFonts w:hint="eastAsia"/>
      <w:b/>
      <w:sz w:val="32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beforeLines="0" w:after="290" w:afterLines="0" w:line="376" w:lineRule="auto"/>
      <w:outlineLvl w:val="4"/>
    </w:pPr>
    <w:rPr>
      <w:rFonts w:hint="eastAsia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nhideWhenUsed/>
    <w:qFormat/>
    <w:uiPriority w:val="34"/>
    <w:pPr>
      <w:spacing w:beforeLines="0" w:afterLines="0"/>
      <w:ind w:firstLine="420" w:firstLineChars="200"/>
    </w:pPr>
    <w:rPr>
      <w:rFonts w:hint="eastAsia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yuhongd</dc:creator>
  <cp:lastModifiedBy>董瑜宏</cp:lastModifiedBy>
  <dcterms:modified xsi:type="dcterms:W3CDTF">2019-03-01T01:56:13Z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