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alt=""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numPr>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表：</w:t>
      </w:r>
    </w:p>
    <w:p>
      <w:pPr>
        <w:numPr>
          <w:numId w:val="0"/>
        </w:numPr>
        <w:jc w:val="both"/>
        <w:rPr>
          <w:rFonts w:hint="default"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前三阶振型图：</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numId w:val="0"/>
        </w:numPr>
        <w:ind w:firstLine="420" w:firstLineChars="0"/>
        <w:jc w:val="both"/>
        <w:rPr>
          <w:rFonts w:hint="eastAsia" w:ascii="STFangsong" w:hAnsi="STFangsong" w:eastAsia="STFangsong"/>
          <w:sz w:val="28"/>
          <w:szCs w:val="22"/>
          <w:vertAlign w:val="baseline"/>
          <w:lang w:val="en-US" w:eastAsia="zh-CN"/>
        </w:rPr>
      </w:pP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本工程选用的三条地震波如下所示；</w:t>
      </w:r>
    </w:p>
    <w:p>
      <w:pPr>
        <w:numPr>
          <w:numId w:val="0"/>
        </w:numPr>
        <w:ind w:firstLine="420" w:firstLineChars="0"/>
        <w:jc w:val="both"/>
        <w:rPr>
          <w:rFonts w:hint="default" w:ascii="STFangsong" w:hAnsi="STFangsong" w:eastAsia="STFangsong"/>
          <w:sz w:val="28"/>
          <w:szCs w:val="22"/>
          <w:vertAlign w:val="baseline"/>
          <w:lang w:val="en-US" w:eastAsia="zh-CN"/>
        </w:rPr>
      </w:pPr>
      <w:bookmarkStart w:id="0" w:name="_GoBack"/>
      <w:bookmarkEnd w:id="0"/>
    </w:p>
    <w:p>
      <w:pPr>
        <w:numPr>
          <w:numId w:val="0"/>
        </w:numPr>
        <w:ind w:firstLine="420" w:firstLineChars="0"/>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9EA52"/>
    <w:multiLevelType w:val="singleLevel"/>
    <w:tmpl w:val="B079EA52"/>
    <w:lvl w:ilvl="0" w:tentative="0">
      <w:start w:val="1"/>
      <w:numFmt w:val="decimal"/>
      <w:suff w:val="space"/>
      <w:lvlText w:val="%1）"/>
      <w:lvlJc w:val="left"/>
    </w:lvl>
  </w:abstractNum>
  <w:abstractNum w:abstractNumId="1">
    <w:nsid w:val="F6B6D0BD"/>
    <w:multiLevelType w:val="singleLevel"/>
    <w:tmpl w:val="F6B6D0BD"/>
    <w:lvl w:ilvl="0" w:tentative="0">
      <w:start w:val="1"/>
      <w:numFmt w:val="decimal"/>
      <w:lvlText w:val="%1）"/>
      <w:lvlJc w:val="left"/>
    </w:lvl>
  </w:abstractNum>
  <w:abstractNum w:abstractNumId="2">
    <w:nsid w:val="1E579A3E"/>
    <w:multiLevelType w:val="singleLevel"/>
    <w:tmpl w:val="1E579A3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B2E1F0F"/>
    <w:rsid w:val="132D23F6"/>
    <w:rsid w:val="14F109E3"/>
    <w:rsid w:val="18303BBF"/>
    <w:rsid w:val="1B174F5A"/>
    <w:rsid w:val="23DF5570"/>
    <w:rsid w:val="280D7092"/>
    <w:rsid w:val="2D7811A0"/>
    <w:rsid w:val="358F1D55"/>
    <w:rsid w:val="35A323BB"/>
    <w:rsid w:val="36766549"/>
    <w:rsid w:val="387574AC"/>
    <w:rsid w:val="3F9C1D3C"/>
    <w:rsid w:val="45CF796F"/>
    <w:rsid w:val="462E1130"/>
    <w:rsid w:val="4FCD4C41"/>
    <w:rsid w:val="574F2A3A"/>
    <w:rsid w:val="63E63476"/>
    <w:rsid w:val="66DC0E51"/>
    <w:rsid w:val="67380DEF"/>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2019-03-06T13:37:03Z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