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44"/>
        </w:rPr>
      </w:pPr>
      <w:r>
        <w:rPr>
          <w:rFonts w:hint="eastAsia"/>
          <w:sz w:val="44"/>
        </w:rPr>
        <w:t>4 项目结构设计分析</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由于本文的建筑模型进行了隔震处理，在设计时，确定了了两种模拟方案：</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方案1：将上部隔震层简化为对下层的力，具体受力图如下图所示</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方案2：利用Etabs摩擦摆隔震支座对建筑模型做隔振处理。</w:t>
      </w:r>
    </w:p>
    <w:p>
      <w:pP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我们分别对方案1和方案2进行讨论分析</w:t>
      </w:r>
    </w:p>
    <w:p>
      <w:pPr>
        <w:ind w:firstLine="564"/>
        <w:rPr>
          <w:rFonts w:hint="default" w:asciiTheme="majorEastAsia" w:hAnsiTheme="majorEastAsia" w:eastAsiaTheme="majorEastAsia" w:cstheme="majorEastAsia"/>
          <w:color w:val="000000"/>
          <w:sz w:val="28"/>
          <w:shd w:val="clear" w:color="auto" w:fill="FFFFFF"/>
          <w:lang w:val="en-US" w:eastAsia="zh-CN"/>
        </w:rPr>
      </w:pPr>
    </w:p>
    <w:p>
      <w:pPr>
        <w:pStyle w:val="3"/>
        <w:rPr>
          <w:rFonts w:hint="eastAsia"/>
          <w:sz w:val="32"/>
        </w:rPr>
      </w:pPr>
      <w:r>
        <w:rPr>
          <w:rFonts w:hint="eastAsia"/>
          <w:sz w:val="32"/>
        </w:rPr>
        <w:t>4.</w:t>
      </w:r>
      <w:r>
        <w:rPr>
          <w:rFonts w:hint="eastAsia"/>
          <w:sz w:val="32"/>
          <w:lang w:val="en-US" w:eastAsia="zh-CN"/>
        </w:rPr>
        <w:t>1</w:t>
      </w:r>
      <w:r>
        <w:rPr>
          <w:rFonts w:hint="eastAsia"/>
          <w:sz w:val="32"/>
        </w:rPr>
        <w:t xml:space="preserve"> </w:t>
      </w:r>
      <w:r>
        <w:rPr>
          <w:rFonts w:hint="eastAsia"/>
          <w:sz w:val="32"/>
          <w:lang w:val="en-US" w:eastAsia="zh-CN"/>
        </w:rPr>
        <w:t>方案1</w:t>
      </w:r>
      <w:r>
        <w:rPr>
          <w:rFonts w:hint="eastAsia"/>
          <w:sz w:val="32"/>
        </w:rPr>
        <w:t>分析</w:t>
      </w:r>
    </w:p>
    <w:p>
      <w:pPr>
        <w:rPr>
          <w:rFonts w:hint="default" w:ascii="STFangsong" w:hAnsi="STFangsong" w:eastAsia="STFangsong"/>
          <w:sz w:val="28"/>
          <w:szCs w:val="22"/>
          <w:lang w:val="en-US" w:eastAsia="zh-CN"/>
        </w:rPr>
      </w:pPr>
      <w:r>
        <w:rPr>
          <w:rFonts w:hint="eastAsia" w:ascii="STFangsong" w:hAnsi="STFangsong" w:eastAsia="STFangsong"/>
          <w:sz w:val="28"/>
        </w:rPr>
        <w:tab/>
      </w:r>
      <w:r>
        <w:rPr>
          <w:rFonts w:hint="eastAsia" w:ascii="STFangsong" w:hAnsi="STFangsong" w:eastAsia="STFangsong"/>
          <w:sz w:val="28"/>
          <w:lang w:val="en-US" w:eastAsia="zh-CN"/>
        </w:rPr>
        <w:t>在建模分析时，我们采用</w:t>
      </w:r>
      <w:r>
        <w:rPr>
          <w:rFonts w:hint="eastAsia" w:ascii="STFangsong" w:hAnsi="STFangsong" w:eastAsia="STFangsong"/>
          <w:sz w:val="28"/>
          <w:szCs w:val="22"/>
          <w:lang w:val="en-US" w:eastAsia="zh-CN"/>
        </w:rPr>
        <w:t>国建筑科学研究院建筑工程软件研究所研发的工程管理软件PKPM建模，由于PKPM是分层建模，所以采用PKPM建模可以大大增加建模速度，PKPM模型图如下图4-1所示。在计算分析时我们使用PKPM中的SATWE模块，SATWE是专门为高层结构分析与设计而开发出来的基于壳元理论的三维组合结构有限元分析软件。未来保证分析的正确性，我们在SATWE计算完成以后，继续采用由美国CSI公司开发研制的房屋建筑</w:t>
      </w:r>
      <w:r>
        <w:rPr>
          <w:rFonts w:hint="default" w:ascii="STFangsong" w:hAnsi="STFangsong" w:eastAsia="STFangsong"/>
          <w:sz w:val="28"/>
          <w:szCs w:val="22"/>
          <w:lang w:val="en-US" w:eastAsia="zh-CN"/>
        </w:rPr>
        <w:fldChar w:fldCharType="begin"/>
      </w:r>
      <w:r>
        <w:rPr>
          <w:rFonts w:hint="default" w:ascii="STFangsong" w:hAnsi="STFangsong" w:eastAsia="STFangsong"/>
          <w:sz w:val="28"/>
          <w:szCs w:val="22"/>
          <w:lang w:val="en-US" w:eastAsia="zh-CN"/>
        </w:rPr>
        <w:instrText xml:space="preserve"> HYPERLINK "https://baike.baidu.com/item/%E7%BB%93%E6%9E%84%E5%88%86%E6%9E%90" \t "https://baike.baidu.com/item/_blank" </w:instrText>
      </w:r>
      <w:r>
        <w:rPr>
          <w:rFonts w:hint="default" w:ascii="STFangsong" w:hAnsi="STFangsong" w:eastAsia="STFangsong"/>
          <w:sz w:val="28"/>
          <w:szCs w:val="22"/>
          <w:lang w:val="en-US" w:eastAsia="zh-CN"/>
        </w:rPr>
        <w:fldChar w:fldCharType="separate"/>
      </w:r>
      <w:r>
        <w:rPr>
          <w:rFonts w:hint="default" w:ascii="STFangsong" w:hAnsi="STFangsong" w:eastAsia="STFangsong"/>
          <w:sz w:val="28"/>
          <w:szCs w:val="22"/>
          <w:lang w:val="en-US" w:eastAsia="zh-CN"/>
        </w:rPr>
        <w:t>结构分析</w:t>
      </w:r>
      <w:r>
        <w:rPr>
          <w:rFonts w:hint="default" w:ascii="STFangsong" w:hAnsi="STFangsong" w:eastAsia="STFangsong"/>
          <w:sz w:val="28"/>
          <w:szCs w:val="22"/>
          <w:lang w:val="en-US" w:eastAsia="zh-CN"/>
        </w:rPr>
        <w:fldChar w:fldCharType="end"/>
      </w:r>
      <w:r>
        <w:rPr>
          <w:rFonts w:hint="default" w:ascii="STFangsong" w:hAnsi="STFangsong" w:eastAsia="STFangsong"/>
          <w:sz w:val="28"/>
          <w:szCs w:val="22"/>
          <w:lang w:val="en-US" w:eastAsia="zh-CN"/>
        </w:rPr>
        <w:t>与设计软件</w:t>
      </w:r>
      <w:r>
        <w:rPr>
          <w:rFonts w:hint="eastAsia" w:ascii="STFangsong" w:hAnsi="STFangsong" w:eastAsia="STFangsong"/>
          <w:sz w:val="28"/>
          <w:szCs w:val="22"/>
          <w:lang w:val="en-US" w:eastAsia="zh-CN"/>
        </w:rPr>
        <w:t>ETABS,再次进行模型的有限元分析，ETABS已经有30余年的发展历史，也是国内外认可度较高的结构计算程序，在工程有限元分析领域，应用特别广泛。ETABS模型如下图4-2所示。</w:t>
      </w:r>
    </w:p>
    <w:p>
      <w:pPr>
        <w:ind w:firstLine="420" w:firstLineChars="0"/>
        <w:rPr>
          <w:rFonts w:hint="default" w:ascii="STFangsong" w:hAnsi="STFangsong" w:eastAsia="STFangsong"/>
          <w:sz w:val="28"/>
          <w:szCs w:val="22"/>
          <w:lang w:val="en-US" w:eastAsia="zh-CN"/>
        </w:rPr>
      </w:pPr>
    </w:p>
    <w:p>
      <w:pPr>
        <w:rPr>
          <w:rFonts w:hint="eastAsia" w:ascii="STFangsong" w:hAnsi="STFangsong" w:eastAsia="STFangsong"/>
          <w:sz w:val="28"/>
          <w:szCs w:val="22"/>
          <w:lang w:val="en-US" w:eastAsia="zh-CN"/>
        </w:rPr>
      </w:pPr>
    </w:p>
    <w:p>
      <w:pPr>
        <w:pStyle w:val="4"/>
        <w:rPr>
          <w:rFonts w:hint="eastAsia"/>
          <w:sz w:val="28"/>
        </w:rPr>
      </w:pPr>
      <w:r>
        <w:rPr>
          <w:rFonts w:hint="eastAsia"/>
          <w:sz w:val="28"/>
        </w:rPr>
        <w:t xml:space="preserve">4.2.1 </w:t>
      </w:r>
      <w:r>
        <w:rPr>
          <w:rFonts w:hint="eastAsia"/>
          <w:sz w:val="28"/>
          <w:lang w:val="en-US" w:eastAsia="zh-CN"/>
        </w:rPr>
        <w:t>无桁架建筑模型</w:t>
      </w:r>
      <w:r>
        <w:rPr>
          <w:rFonts w:hint="eastAsia"/>
          <w:sz w:val="28"/>
        </w:rPr>
        <w:t>模拟结果：</w:t>
      </w:r>
    </w:p>
    <w:p>
      <w:pPr>
        <w:ind w:firstLine="420" w:firstLineChars="0"/>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为了确定两种软件模型的一致性，我们需要对两种模型做对比，我们主要通过对比两种软件的质量，周期，层间剪力，主要通过振型分解反应谱法的结果对比。为了确保准确性，我们要求，两种软件模拟结果在模型周期和质量上的误差在5%之内，层间剪力和位移误差在10%之内。</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误差计算表达式为：</w:t>
      </w:r>
    </w:p>
    <w:p>
      <w:pPr>
        <w:jc w:val="center"/>
        <w:rPr>
          <w:rFonts w:hint="eastAsia" w:ascii="STFangsong" w:hAnsi="STFangsong" w:eastAsia="STFangsong"/>
          <w:sz w:val="28"/>
          <w:szCs w:val="22"/>
          <w:lang w:val="en-US" w:eastAsia="zh-CN"/>
        </w:rPr>
      </w:pPr>
      <w:r>
        <w:rPr>
          <w:rFonts w:hint="default" w:ascii="STFangsong" w:hAnsi="STFangsong" w:eastAsia="STFangsong"/>
          <w:position w:val="-24"/>
          <w:sz w:val="28"/>
          <w:szCs w:val="22"/>
          <w:lang w:val="en-US" w:eastAsia="zh-CN"/>
        </w:rPr>
        <w:object>
          <v:shape id="_x0000_i1025" o:spt="75" type="#_x0000_t75" style="height:31pt;width:147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(1)</w:t>
      </w:r>
    </w:p>
    <w:p>
      <w:pPr>
        <w:ind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上式中，</w: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ETABS：ETABS软件计算出的结果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SATWE：SATWE软件计算出的结果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d:表示误差值</w:t>
      </w:r>
    </w:p>
    <w:p>
      <w:pPr>
        <w:jc w:val="both"/>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两种模型质量对对比结果：</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表4-0 结构质量计算结果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09"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705"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质量(t)</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质量(t)</w:t>
            </w:r>
          </w:p>
        </w:tc>
        <w:tc>
          <w:tcPr>
            <w:tcW w:w="1705"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4475.0</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4446.1</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4920.4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4649.9</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4227.0</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4194.3</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5451.4</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5213.0</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4.37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27549.7</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28290.6</w:t>
            </w:r>
          </w:p>
        </w:tc>
        <w:tc>
          <w:tcPr>
            <w:tcW w:w="1705"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ind w:firstLine="280" w:firstLineChars="10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总质量</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46623.543</w:t>
            </w:r>
          </w:p>
        </w:tc>
        <w:tc>
          <w:tcPr>
            <w:tcW w:w="1704"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总质量</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46792.020</w:t>
            </w:r>
          </w:p>
        </w:tc>
        <w:tc>
          <w:tcPr>
            <w:tcW w:w="170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0.3</w:t>
            </w:r>
          </w:p>
        </w:tc>
      </w:tr>
    </w:tbl>
    <w:p>
      <w:pPr>
        <w:jc w:val="both"/>
        <w:rPr>
          <w:rFonts w:hint="eastAsia" w:ascii="STFangsong" w:hAnsi="STFangsong" w:eastAsia="STFangsong"/>
          <w:sz w:val="28"/>
          <w:szCs w:val="22"/>
          <w:lang w:val="en-US" w:eastAsia="zh-CN"/>
        </w:rPr>
      </w:pPr>
    </w:p>
    <w:p>
      <w:pPr>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两种模型的数值模拟之后，其周期的对比：</w:t>
      </w:r>
    </w:p>
    <w:p>
      <w:pPr>
        <w:jc w:val="both"/>
        <w:rPr>
          <w:rFonts w:hint="default" w:ascii="STFangsong" w:hAnsi="STFangsong" w:eastAsia="STFangsong"/>
          <w:sz w:val="28"/>
          <w:szCs w:val="22"/>
          <w:lang w:val="en-US" w:eastAsia="zh-CN"/>
        </w:rPr>
      </w:pP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表4-3 结构周期和振型计算结果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260"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4262" w:type="dxa"/>
            <w:gridSpan w:val="4"/>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0.4143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0.1209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0.3781</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0.1199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0.3529</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0.1160</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0.2483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0.1128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0.253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0.2053</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0.1104</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0.226</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16</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0.1648</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0.1082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0.179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0.1545</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0.1061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0.163</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0.1435</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0.1003</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0.159</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0.1357</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0.0985</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0.14</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0.1276</w:t>
            </w:r>
          </w:p>
        </w:tc>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0.0972</w:t>
            </w: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0.137</w:t>
            </w:r>
          </w:p>
        </w:tc>
        <w:tc>
          <w:tcPr>
            <w:tcW w:w="1066"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21</w:t>
            </w:r>
          </w:p>
        </w:tc>
        <w:tc>
          <w:tcPr>
            <w:tcW w:w="1066"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06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jc w:val="center"/>
              <w:rPr>
                <w:rFonts w:hint="eastAsia" w:ascii="宋体" w:eastAsia="宋体"/>
                <w:b w:val="0"/>
                <w:color w:val="000000"/>
                <w:sz w:val="24"/>
                <w:szCs w:val="24"/>
                <w:shd w:val="clear" w:color="auto" w:fill="FFFFFF"/>
              </w:rPr>
            </w:pPr>
            <w:r>
              <w:rPr>
                <w:rFonts w:hint="eastAsia" w:ascii="宋体" w:eastAsia="宋体"/>
                <w:b w:val="0"/>
                <w:color w:val="000000"/>
                <w:sz w:val="24"/>
                <w:szCs w:val="24"/>
                <w:shd w:val="clear" w:color="auto" w:fill="FFFFFF"/>
              </w:rPr>
              <w:t>0.1243</w:t>
            </w: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p>
        </w:tc>
        <w:tc>
          <w:tcPr>
            <w:tcW w:w="106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w:t>
            </w:r>
          </w:p>
        </w:tc>
        <w:tc>
          <w:tcPr>
            <w:tcW w:w="1065" w:type="dxa"/>
            <w:vAlign w:val="center"/>
          </w:tcPr>
          <w:p>
            <w:pPr>
              <w:keepNext w:val="0"/>
              <w:keepLines w:val="0"/>
              <w:widowControl/>
              <w:suppressLineNumbers w:val="0"/>
              <w:jc w:val="right"/>
              <w:textAlignment w:val="center"/>
              <w:rPr>
                <w:rFonts w:hint="eastAsia"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0.132</w:t>
            </w:r>
          </w:p>
        </w:tc>
        <w:tc>
          <w:tcPr>
            <w:tcW w:w="1066" w:type="dxa"/>
            <w:vAlign w:val="center"/>
          </w:tcPr>
          <w:p>
            <w:pPr>
              <w:jc w:val="center"/>
              <w:rPr>
                <w:rFonts w:hint="eastAsia" w:ascii="STFangsong" w:hAnsi="STFangsong" w:eastAsia="STFangsong"/>
                <w:sz w:val="28"/>
                <w:szCs w:val="22"/>
                <w:vertAlign w:val="baseline"/>
                <w:lang w:val="en-US" w:eastAsia="zh-CN"/>
              </w:rPr>
            </w:pPr>
          </w:p>
        </w:tc>
        <w:tc>
          <w:tcPr>
            <w:tcW w:w="1066" w:type="dxa"/>
            <w:vAlign w:val="center"/>
          </w:tcPr>
          <w:p>
            <w:pPr>
              <w:jc w:val="center"/>
              <w:rPr>
                <w:rFonts w:hint="eastAsia" w:ascii="STFangsong" w:hAnsi="STFangsong" w:eastAsia="STFangsong"/>
                <w:sz w:val="28"/>
                <w:szCs w:val="22"/>
                <w:vertAlign w:val="baseline"/>
                <w:lang w:val="en-US" w:eastAsia="zh-CN"/>
              </w:rPr>
            </w:pPr>
          </w:p>
        </w:tc>
      </w:tr>
    </w:tbl>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根据《高规》5.1.13条,各振型的参与质量之和不应小于总质量的90%。</w:t>
      </w:r>
    </w:p>
    <w:p>
      <w:pP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SATWE中：</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1 地震方向 EX  的有效质量系数为 94.46%,参与振型足够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2 地震方向 EY  的有效质量系数为 91.10%,参与振型足够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ETABS中：</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1 地震方向 EX  的有效质量系数为 97.37%,参与振型足够</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第 2 地震方向 EY  的有效质量系数为 98.72%,参与振型足够</w:t>
      </w:r>
    </w:p>
    <w:p>
      <w:pPr>
        <w:rPr>
          <w:rFonts w:hint="default" w:ascii="STFangsong" w:hAnsi="STFangsong" w:eastAsia="STFangsong"/>
          <w:sz w:val="28"/>
          <w:szCs w:val="22"/>
          <w:lang w:val="en-US" w:eastAsia="zh-CN"/>
        </w:rPr>
      </w:pPr>
    </w:p>
    <w:p>
      <w:pPr>
        <w:jc w:val="both"/>
        <w:rPr>
          <w:rFonts w:hint="default" w:ascii="STFangsong" w:hAnsi="STFangsong" w:eastAsia="STFangsong"/>
          <w:sz w:val="28"/>
          <w:szCs w:val="22"/>
          <w:lang w:val="en-US" w:eastAsia="zh-CN"/>
        </w:rPr>
      </w:pPr>
    </w:p>
    <w:p>
      <w:pPr>
        <w:jc w:val="center"/>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表4-2 结构前三振型周期计算结果对比</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3408"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409"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705"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振型号</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周期</w:t>
            </w:r>
          </w:p>
        </w:tc>
        <w:tc>
          <w:tcPr>
            <w:tcW w:w="1705" w:type="dxa"/>
            <w:vMerge w:val="continue"/>
            <w:vAlign w:val="center"/>
          </w:tcPr>
          <w:p>
            <w:pPr>
              <w:jc w:val="center"/>
              <w:rPr>
                <w:rFonts w:hint="default"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0.4143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0.383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0.3781</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0.343</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宋体" w:eastAsia="宋体"/>
                <w:b w:val="0"/>
                <w:color w:val="000000"/>
                <w:sz w:val="24"/>
                <w:szCs w:val="24"/>
                <w:shd w:val="clear" w:color="auto" w:fill="FFFFFF"/>
              </w:rPr>
              <w:t>0.3529</w:t>
            </w:r>
          </w:p>
        </w:tc>
        <w:tc>
          <w:tcPr>
            <w:tcW w:w="17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705" w:type="dxa"/>
            <w:vAlign w:val="center"/>
          </w:tcPr>
          <w:p>
            <w:pPr>
              <w:keepNext w:val="0"/>
              <w:keepLines w:val="0"/>
              <w:widowControl/>
              <w:suppressLineNumbers w:val="0"/>
              <w:jc w:val="right"/>
              <w:textAlignment w:val="center"/>
              <w:rPr>
                <w:rFonts w:hint="default" w:ascii="STFangsong" w:hAnsi="STFangsong" w:eastAsia="STFangsong"/>
                <w:sz w:val="28"/>
                <w:szCs w:val="22"/>
                <w:vertAlign w:val="baseline"/>
                <w:lang w:val="en-US" w:eastAsia="zh-CN"/>
              </w:rPr>
            </w:pPr>
            <w:r>
              <w:rPr>
                <w:rFonts w:hint="eastAsia" w:ascii="等线" w:hAnsi="等线" w:eastAsia="等线" w:cs="等线"/>
                <w:i w:val="0"/>
                <w:color w:val="000000"/>
                <w:kern w:val="0"/>
                <w:sz w:val="22"/>
                <w:szCs w:val="22"/>
                <w:u w:val="none"/>
                <w:lang w:val="en-US" w:eastAsia="zh-CN" w:bidi="ar"/>
              </w:rPr>
              <w:t>0.318</w:t>
            </w:r>
          </w:p>
        </w:tc>
        <w:tc>
          <w:tcPr>
            <w:tcW w:w="170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9.8</w:t>
            </w:r>
          </w:p>
        </w:tc>
      </w:tr>
    </w:tbl>
    <w:p>
      <w:p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两种模型在数值模拟计算以后，其剪力的对比，具体见下表：</w:t>
      </w:r>
    </w:p>
    <w:p>
      <w:pPr>
        <w:jc w:val="center"/>
        <w:rPr>
          <w:rFonts w:hint="eastAsia" w:ascii="STFangsong" w:hAnsi="STFangsong" w:eastAsia="STFangsong"/>
          <w:sz w:val="28"/>
          <w:szCs w:val="22"/>
          <w:vertAlign w:val="baseline"/>
          <w:lang w:val="en-US" w:eastAsia="zh-CN"/>
        </w:rPr>
      </w:pPr>
      <w:r>
        <w:rPr>
          <w:rFonts w:hint="eastAsia" w:ascii="STFangsong" w:hAnsi="STFangsong" w:eastAsia="STFangsong"/>
          <w:color w:val="C00000"/>
          <w:sz w:val="28"/>
          <w:szCs w:val="22"/>
          <w:lang w:val="en-US" w:eastAsia="zh-CN"/>
        </w:rPr>
        <w:t>表4-3 Ex工况下作用下结构各层的剪重比</w:t>
      </w:r>
    </w:p>
    <w:tbl>
      <w:tblPr>
        <w:tblStyle w:val="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
        <w:gridCol w:w="1455"/>
        <w:gridCol w:w="1535"/>
        <w:gridCol w:w="1453"/>
        <w:gridCol w:w="1540"/>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2990"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2993"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540"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continue"/>
            <w:vAlign w:val="center"/>
          </w:tcPr>
          <w:p>
            <w:pPr>
              <w:jc w:val="center"/>
              <w:rPr>
                <w:rFonts w:hint="eastAsia" w:ascii="STFangsong" w:hAnsi="STFangsong" w:eastAsia="STFangsong"/>
                <w:sz w:val="28"/>
                <w:szCs w:val="22"/>
                <w:vertAlign w:val="baseline"/>
                <w:lang w:val="en-US" w:eastAsia="zh-CN"/>
              </w:rPr>
            </w:pPr>
          </w:p>
        </w:tc>
        <w:tc>
          <w:tcPr>
            <w:tcW w:w="145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540"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5635.1</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10.77%</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4767.0</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10.67%</w:t>
            </w:r>
          </w:p>
        </w:tc>
        <w:tc>
          <w:tcPr>
            <w:tcW w:w="1540" w:type="dxa"/>
            <w:vAlign w:val="center"/>
          </w:tcPr>
          <w:p>
            <w:pPr>
              <w:keepNext w:val="0"/>
              <w:keepLines w:val="0"/>
              <w:widowControl/>
              <w:suppressLineNumbers w:val="0"/>
              <w:jc w:val="center"/>
              <w:textAlignment w:val="center"/>
              <w:rPr>
                <w:rFonts w:hint="default"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8856.0</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9.43%</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8122.5</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8.78%</w:t>
            </w:r>
          </w:p>
        </w:tc>
        <w:tc>
          <w:tcPr>
            <w:tcW w:w="1540" w:type="dxa"/>
            <w:vAlign w:val="center"/>
          </w:tcPr>
          <w:p>
            <w:pPr>
              <w:keepNext w:val="0"/>
              <w:keepLines w:val="0"/>
              <w:widowControl/>
              <w:suppressLineNumbers w:val="0"/>
              <w:jc w:val="center"/>
              <w:textAlignment w:val="center"/>
              <w:rPr>
                <w:rFonts w:hint="default"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6.89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11398.5</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8.37%</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10499.0</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7.86%</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13640.2</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7.15%</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12339.3</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6.60%</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7.69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17909.6</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3.84%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15634.8</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3.41%</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11.19</w:t>
            </w:r>
          </w:p>
        </w:tc>
      </w:tr>
    </w:tbl>
    <w:p>
      <w:pPr>
        <w:jc w:val="center"/>
        <w:rPr>
          <w:rFonts w:hint="eastAsia" w:ascii="STFangsong" w:hAnsi="STFangsong" w:eastAsia="STFangsong"/>
          <w:sz w:val="28"/>
          <w:szCs w:val="22"/>
          <w:vertAlign w:val="baseline"/>
          <w:lang w:val="en-US" w:eastAsia="zh-CN"/>
        </w:rPr>
      </w:pPr>
      <w:r>
        <w:rPr>
          <w:rFonts w:hint="eastAsia" w:ascii="STFangsong" w:hAnsi="STFangsong" w:eastAsia="STFangsong"/>
          <w:color w:val="C00000"/>
          <w:sz w:val="28"/>
          <w:szCs w:val="22"/>
          <w:lang w:val="en-US" w:eastAsia="zh-CN"/>
        </w:rPr>
        <w:t>表4-3 Ey工况下作用下结构各层的剪重比</w:t>
      </w:r>
    </w:p>
    <w:tbl>
      <w:tblPr>
        <w:tblStyle w:val="6"/>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7"/>
        <w:gridCol w:w="1455"/>
        <w:gridCol w:w="1535"/>
        <w:gridCol w:w="1453"/>
        <w:gridCol w:w="1540"/>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2990"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2993"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c>
          <w:tcPr>
            <w:tcW w:w="1540"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Merge w:val="continue"/>
            <w:vAlign w:val="center"/>
          </w:tcPr>
          <w:p>
            <w:pPr>
              <w:jc w:val="center"/>
              <w:rPr>
                <w:rFonts w:hint="eastAsia" w:ascii="STFangsong" w:hAnsi="STFangsong" w:eastAsia="STFangsong"/>
                <w:sz w:val="28"/>
                <w:szCs w:val="22"/>
                <w:vertAlign w:val="baseline"/>
                <w:lang w:val="en-US" w:eastAsia="zh-CN"/>
              </w:rPr>
            </w:pPr>
          </w:p>
        </w:tc>
        <w:tc>
          <w:tcPr>
            <w:tcW w:w="145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剪力</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w:t>
            </w:r>
          </w:p>
        </w:tc>
        <w:tc>
          <w:tcPr>
            <w:tcW w:w="1540" w:type="dxa"/>
            <w:vMerge w:val="continue"/>
            <w:vAlign w:val="center"/>
          </w:tcPr>
          <w:p>
            <w:pPr>
              <w:jc w:val="center"/>
              <w:rPr>
                <w:rFonts w:hint="eastAsia" w:ascii="STFangsong" w:hAnsi="STFangsong" w:eastAsia="STFangsong"/>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5719.4</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11.84%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5200.5</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11.63%</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10090.8</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10.74%</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9042.6</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9.77%</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12946.4</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9.50%</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11612.1</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8.69%</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15294.0</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8.02%</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13549.3</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7.25%</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97"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55" w:type="dxa"/>
            <w:vAlign w:val="center"/>
          </w:tcPr>
          <w:p>
            <w:p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22263.8</w:t>
            </w:r>
          </w:p>
        </w:tc>
        <w:tc>
          <w:tcPr>
            <w:tcW w:w="1535"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4.78%</w:t>
            </w:r>
          </w:p>
        </w:tc>
        <w:tc>
          <w:tcPr>
            <w:tcW w:w="1453"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18440.9</w:t>
            </w:r>
          </w:p>
        </w:tc>
        <w:tc>
          <w:tcPr>
            <w:tcW w:w="15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4.02%</w:t>
            </w:r>
          </w:p>
        </w:tc>
        <w:tc>
          <w:tcPr>
            <w:tcW w:w="1540" w:type="dxa"/>
            <w:vAlign w:val="center"/>
          </w:tcPr>
          <w:p>
            <w:pPr>
              <w:keepNext w:val="0"/>
              <w:keepLines w:val="0"/>
              <w:widowControl/>
              <w:suppressLineNumbers w:val="0"/>
              <w:jc w:val="center"/>
              <w:textAlignment w:val="center"/>
              <w:rPr>
                <w:rFonts w:hint="eastAsia" w:ascii="STFangsong" w:hAnsi="STFangsong" w:eastAsia="STFangsong"/>
                <w:sz w:val="28"/>
                <w:szCs w:val="22"/>
                <w:vertAlign w:val="baseline"/>
                <w:lang w:val="en-US" w:eastAsia="zh-CN"/>
              </w:rPr>
            </w:pPr>
            <w:r>
              <w:rPr>
                <w:rFonts w:hint="default" w:ascii="STFangsong" w:hAnsi="STFangsong" w:eastAsia="STFangsong" w:cs="STFangsong"/>
                <w:i w:val="0"/>
                <w:color w:val="000000"/>
                <w:kern w:val="0"/>
                <w:sz w:val="28"/>
                <w:szCs w:val="28"/>
                <w:u w:val="none"/>
                <w:lang w:val="en-US" w:eastAsia="zh-CN" w:bidi="ar"/>
              </w:rPr>
              <w:t>15.89</w:t>
            </w:r>
          </w:p>
        </w:tc>
      </w:tr>
    </w:tbl>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根据《抗规》5.2.5条规定，7度(0.10g)设防地区，水平地震影响系数最大值为0.08，X、Y向楼层剪重比不应小于1.60%。</w:t>
      </w:r>
    </w:p>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由下表可见， X、Y向地震剪重比符合要求</w:t>
      </w:r>
    </w:p>
    <w:p>
      <w:p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上表中，第5层由于在SATWE的计算结果中用4个塔楼表示，所以在取该层的剪重比的时候，我们取该层中剪重比最小的一个塔楼的剪重比作为该层的剪重比。而在ETABS中，剪重比计算结果是第5层整层的剪重比，并没有细分为4个塔楼，所以，在第5层的剪重比误差计算可能与其他层的误差值有些差距。</w:t>
      </w:r>
    </w:p>
    <w:p>
      <w:pPr>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剪重比最大误差：</w:t>
      </w:r>
    </w:p>
    <w:p>
      <w:pPr>
        <w:jc w:val="center"/>
        <w:rPr>
          <w:rFonts w:hint="eastAsia" w:ascii="STFangsong" w:hAnsi="STFangsong" w:eastAsia="STFangsong"/>
          <w:sz w:val="28"/>
          <w:szCs w:val="22"/>
          <w:lang w:val="en-US" w:eastAsia="zh-CN"/>
        </w:rPr>
      </w:pPr>
    </w:p>
    <w:p>
      <w:pPr>
        <w:jc w:val="both"/>
        <w:rPr>
          <w:rFonts w:hint="default" w:ascii="STFangsong" w:hAnsi="STFangsong" w:eastAsia="STFangsong"/>
          <w:sz w:val="28"/>
          <w:szCs w:val="22"/>
          <w:lang w:val="en-US" w:eastAsia="zh-CN"/>
        </w:rPr>
      </w:pPr>
      <w:r>
        <w:rPr>
          <w:rFonts w:hint="eastAsia" w:ascii="STFangsong" w:hAnsi="STFangsong" w:eastAsia="STFangsong"/>
          <w:sz w:val="28"/>
          <w:szCs w:val="22"/>
          <w:lang w:val="en-US" w:eastAsia="zh-CN"/>
        </w:rPr>
        <w:t>两种模型在数值模拟以后其位移变化的对比：</w:t>
      </w: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表4-4 X向地震工况的位移</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1416"/>
        <w:gridCol w:w="2340"/>
        <w:gridCol w:w="1488"/>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3756"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762"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vAlign w:val="center"/>
          </w:tcPr>
          <w:p>
            <w:pPr>
              <w:jc w:val="center"/>
              <w:rPr>
                <w:rFonts w:hint="default" w:ascii="STFangsong" w:hAnsi="STFangsong" w:eastAsia="STFangsong"/>
                <w:sz w:val="28"/>
                <w:szCs w:val="22"/>
                <w:vertAlign w:val="baseline"/>
                <w:lang w:val="en-US" w:eastAsia="zh-CN"/>
              </w:rPr>
            </w:pP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5.86</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1/2240</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3.96</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4.63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1/3280</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3.52</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1/3154</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2.82</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1/3551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2.33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1/3328</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2.76</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0.47</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1/9895</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0.083</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1/12026</w:t>
            </w:r>
          </w:p>
        </w:tc>
      </w:tr>
    </w:tbl>
    <w:p>
      <w:pPr>
        <w:jc w:val="both"/>
        <w:rPr>
          <w:rFonts w:hint="default" w:ascii="STFangsong" w:hAnsi="STFangsong" w:eastAsia="STFangsong"/>
          <w:sz w:val="28"/>
          <w:szCs w:val="22"/>
          <w:lang w:val="en-US" w:eastAsia="zh-CN"/>
        </w:rPr>
      </w:pPr>
    </w:p>
    <w:p>
      <w:pPr>
        <w:jc w:val="cente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表4-6 Y向地震工况的位移</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4"/>
        <w:gridCol w:w="1416"/>
        <w:gridCol w:w="2340"/>
        <w:gridCol w:w="1488"/>
        <w:gridCol w:w="2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restart"/>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层号</w:t>
            </w:r>
          </w:p>
        </w:tc>
        <w:tc>
          <w:tcPr>
            <w:tcW w:w="3756"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w:t>
            </w:r>
          </w:p>
        </w:tc>
        <w:tc>
          <w:tcPr>
            <w:tcW w:w="3762" w:type="dxa"/>
            <w:gridSpan w:val="2"/>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ETABS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Merge w:val="continue"/>
            <w:vAlign w:val="center"/>
          </w:tcPr>
          <w:p>
            <w:pPr>
              <w:jc w:val="center"/>
              <w:rPr>
                <w:rFonts w:hint="default" w:ascii="STFangsong" w:hAnsi="STFangsong" w:eastAsia="STFangsong"/>
                <w:sz w:val="28"/>
                <w:szCs w:val="22"/>
                <w:vertAlign w:val="baseline"/>
                <w:lang w:val="en-US" w:eastAsia="zh-CN"/>
              </w:rPr>
            </w:pP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最大位移</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最大层间位移角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5.68</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1/2371</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4.05</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4.46</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1/2818</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3.1</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3.07</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1/3279</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2.73</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1/3657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1.93</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1/4454</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1/5003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w:t>
            </w:r>
          </w:p>
        </w:tc>
        <w:tc>
          <w:tcPr>
            <w:tcW w:w="1416"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0.61</w:t>
            </w:r>
          </w:p>
        </w:tc>
        <w:tc>
          <w:tcPr>
            <w:tcW w:w="2340"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1/7582</w:t>
            </w:r>
          </w:p>
        </w:tc>
        <w:tc>
          <w:tcPr>
            <w:tcW w:w="1488"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1.08</w:t>
            </w:r>
          </w:p>
        </w:tc>
        <w:tc>
          <w:tcPr>
            <w:tcW w:w="2274" w:type="dxa"/>
            <w:vAlign w:val="center"/>
          </w:tcPr>
          <w:p>
            <w:p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1/9292</w:t>
            </w:r>
          </w:p>
        </w:tc>
      </w:tr>
    </w:tbl>
    <w:p>
      <w:p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高规》3.7.3条规定：对于高度不大于150m的框剪结构，按弹性方法计算的风荷载或多遇地震标准值作用下的楼层层间最大水平位移与层高之比△u／h不宜大于1/800，对于高度不小于250m的高层建筑，其楼层层间最大位移与层高之比△u／h不宜大于1/500，结构设定的限值为1/800，结构所有工况下最大层间位移角均满足规范要求。</w:t>
      </w:r>
    </w:p>
    <w:p>
      <w:pPr>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由下上面表可知， X,Y向地震位移符合基本要求</w:t>
      </w:r>
    </w:p>
    <w:p>
      <w:pPr>
        <w:jc w:val="both"/>
        <w:rPr>
          <w:rFonts w:hint="eastAsia" w:ascii="STFangsong" w:hAnsi="STFangsong" w:eastAsia="STFangsong"/>
          <w:sz w:val="28"/>
          <w:szCs w:val="22"/>
          <w:vertAlign w:val="baseline"/>
          <w:lang w:val="en-US" w:eastAsia="zh-CN"/>
        </w:rPr>
      </w:pPr>
      <w:r>
        <w:rPr>
          <w:rStyle w:val="10"/>
          <w:rFonts w:hint="eastAsia"/>
        </w:rPr>
        <w:t>4.2.</w:t>
      </w:r>
      <w:r>
        <w:rPr>
          <w:rStyle w:val="10"/>
          <w:rFonts w:hint="eastAsia"/>
          <w:lang w:val="en-US" w:eastAsia="zh-CN"/>
        </w:rPr>
        <w:t>2 小结</w:t>
      </w:r>
      <w:r>
        <w:rPr>
          <w:rFonts w:hint="eastAsia"/>
          <w:sz w:val="28"/>
        </w:rPr>
        <w:t>：</w:t>
      </w:r>
    </w:p>
    <w:p>
      <w:p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小结：经过SATWE和ETABS的计算模拟，我们对两种软件的模拟结果进行对比分析。有如下发现：</w:t>
      </w:r>
    </w:p>
    <w:p>
      <w:pPr>
        <w:numPr>
          <w:ilvl w:val="0"/>
          <w:numId w:val="1"/>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SATWE和ETABS的模拟，都满足《抗规》关于第一水准‘小震不坏’的设计要求。</w:t>
      </w:r>
    </w:p>
    <w:p>
      <w:pPr>
        <w:numPr>
          <w:ilvl w:val="0"/>
          <w:numId w:val="1"/>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SATWE和ETABS模拟结果误差不大，说明两种软件建立的模型差别基本一致，两种软件都可以作为建模结构数值分析软件。</w:t>
      </w:r>
    </w:p>
    <w:p>
      <w:pPr>
        <w:pStyle w:val="3"/>
        <w:bidi w:val="0"/>
        <w:rPr>
          <w:rFonts w:hint="eastAsia"/>
          <w:lang w:val="en-US" w:eastAsia="zh-CN"/>
        </w:rPr>
      </w:pPr>
      <w:r>
        <w:rPr>
          <w:rFonts w:hint="eastAsia"/>
          <w:lang w:val="en-US" w:eastAsia="zh-CN"/>
        </w:rPr>
        <w:t>4.2 方案2 分析</w:t>
      </w:r>
    </w:p>
    <w:p>
      <w:pPr>
        <w:ind w:firstLine="420" w:firstLineChars="0"/>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由于SATWE中无法模拟滑动平板支座。所以我们用ETABS模拟带桁架的模型，滑动平板支座我们用Etabs中的摩擦摆隔震支座模拟。</w:t>
      </w:r>
    </w:p>
    <w:p>
      <w:pPr>
        <w:pStyle w:val="4"/>
        <w:bidi w:val="0"/>
        <w:rPr>
          <w:rFonts w:hint="default"/>
          <w:lang w:val="en-US" w:eastAsia="zh-CN"/>
        </w:rPr>
      </w:pPr>
      <w:r>
        <w:rPr>
          <w:rFonts w:hint="eastAsia"/>
          <w:lang w:val="en-US" w:eastAsia="zh-CN"/>
        </w:rPr>
        <w:t>4.2.1 Etabs中的隔震支座的选择</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CSI软件常见的隔震器有，橡胶隔震支座和摩擦摆隔震支座。</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ETABS中橡胶隔震支座模拟器包括：1.普通天然橡胶隔震器，2.铅芯橡胶隔震模拟器。橡胶支座具有完善且成熟的设立理论和实践。其生产工艺技术稳定，橡胶支座的应用，随着国家对抗震减灾措施的落实以及科学技术的发展，得到了大规模的广泛应用。因此橡胶隔震支座的应用也是最成熟最广泛的。</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ETABS中的摩擦摆隔震支座，具有竖向承载力高，水平容许位移大，周期可控，耐久性好等优点。在工程中应用中，摩擦摆隔震支座的关注度也越来越高，应用也越来越广泛。摩擦摆隔震支座的种类也随着研究的深入和技术的成熟越来越多。在ETABS程序中，为我们提供了3中常摩擦摆隔震支座模拟器，分别为：1 摩擦摆隔震支座(Friction Isolator)，双作用摩擦摆隔震支座(T/C Friction Isolator)，三重摩擦摆隔震支座(Triple Friction Isolator )</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由于本建筑模型最上层是滑动层，位移较大。故我们选用ETABS中的摩擦摆隔震支座中的Friction Isolator。我们以产品型号为FPS-SX8000的摩擦摆隔震支座为例进行说明，支座产品参数如下表：</w:t>
      </w:r>
    </w:p>
    <w:p>
      <w:pPr>
        <w:numPr>
          <w:ilvl w:val="0"/>
          <w:numId w:val="0"/>
        </w:numPr>
        <w:ind w:firstLine="420" w:firstLineChars="0"/>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表4-6 摩擦摆隔震支座产品规格</w:t>
      </w:r>
    </w:p>
    <w:tbl>
      <w:tblPr>
        <w:tblStyle w:val="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支座型号</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FPS-SX8000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摩擦曲率半径</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静摩擦系数</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130" w:type="dxa"/>
            <w:vMerge w:val="restart"/>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动摩擦系数</w:t>
            </w:r>
          </w:p>
        </w:tc>
        <w:tc>
          <w:tcPr>
            <w:tcW w:w="213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慢速</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2130" w:type="dxa"/>
            <w:vMerge w:val="continue"/>
            <w:vAlign w:val="center"/>
          </w:tcPr>
          <w:p>
            <w:pPr>
              <w:numPr>
                <w:ilvl w:val="0"/>
                <w:numId w:val="0"/>
              </w:numPr>
              <w:jc w:val="center"/>
              <w:rPr>
                <w:rFonts w:hint="default" w:ascii="STFangsong" w:hAnsi="STFangsong" w:eastAsia="STFangsong"/>
                <w:sz w:val="28"/>
                <w:szCs w:val="22"/>
                <w:vertAlign w:val="baseline"/>
                <w:lang w:val="en-US" w:eastAsia="zh-CN"/>
              </w:rPr>
            </w:pPr>
          </w:p>
        </w:tc>
        <w:tc>
          <w:tcPr>
            <w:tcW w:w="213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快速</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支座滑动位移/mm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竖向等效刚度kN/m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1E007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水平等效刚度kN/m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2977.78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等效阻 尼比kN s/m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滑动前刚度 kN/m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4261" w:type="dxa"/>
            <w:gridSpan w:val="2"/>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摩擦系数变化参数 s/m</w:t>
            </w:r>
          </w:p>
        </w:tc>
        <w:tc>
          <w:tcPr>
            <w:tcW w:w="4261"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20</w:t>
            </w:r>
          </w:p>
        </w:tc>
      </w:tr>
    </w:tbl>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在本例中，我们采用Friction Isolator 连接单元模拟双向摩擦支座，具体参数输入，勾选U1,U2,U3如下 图4-1所示，然后对三个方向的属性分别进行定义。</w:t>
      </w:r>
    </w:p>
    <w:p>
      <w:pPr>
        <w:numPr>
          <w:ilvl w:val="0"/>
          <w:numId w:val="0"/>
        </w:numPr>
        <w:jc w:val="center"/>
        <w:rPr>
          <w:rFonts w:hint="default" w:ascii="STFangsong" w:hAnsi="STFangsong" w:eastAsia="STFangsong"/>
          <w:sz w:val="28"/>
          <w:szCs w:val="22"/>
          <w:vertAlign w:val="baseline"/>
          <w:lang w:val="en-US" w:eastAsia="zh-CN"/>
        </w:rPr>
      </w:pPr>
      <w:r>
        <w:rPr>
          <w:rFonts w:hint="default" w:ascii="STFangsong" w:hAnsi="STFangsong" w:eastAsia="STFangsong"/>
          <w:sz w:val="28"/>
          <w:szCs w:val="22"/>
          <w:vertAlign w:val="baseline"/>
          <w:lang w:val="en-US" w:eastAsia="zh-CN"/>
        </w:rPr>
        <w:drawing>
          <wp:inline distT="0" distB="0" distL="114300" distR="114300">
            <wp:extent cx="4014470" cy="3118485"/>
            <wp:effectExtent l="0" t="0" r="8890" b="5715"/>
            <wp:docPr id="1" name="图片 1" descr="摩擦摆支座参数配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摩擦摆支座参数配置1"/>
                    <pic:cNvPicPr>
                      <a:picLocks noChangeAspect="1"/>
                    </pic:cNvPicPr>
                  </pic:nvPicPr>
                  <pic:blipFill>
                    <a:blip r:embed="rId6"/>
                    <a:stretch>
                      <a:fillRect/>
                    </a:stretch>
                  </pic:blipFill>
                  <pic:spPr>
                    <a:xfrm>
                      <a:off x="0" y="0"/>
                      <a:ext cx="4014470" cy="3118485"/>
                    </a:xfrm>
                    <a:prstGeom prst="rect">
                      <a:avLst/>
                    </a:prstGeom>
                  </pic:spPr>
                </pic:pic>
              </a:graphicData>
            </a:graphic>
          </wp:inline>
        </w:drawing>
      </w:r>
    </w:p>
    <w:p>
      <w:pPr>
        <w:numPr>
          <w:ilvl w:val="0"/>
          <w:numId w:val="0"/>
        </w:numPr>
        <w:ind w:firstLine="420" w:firstLineChars="0"/>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图4-1 摩擦摆隔震支座参数设置</w:t>
      </w:r>
    </w:p>
    <w:p>
      <w:pPr>
        <w:numPr>
          <w:ilvl w:val="0"/>
          <w:numId w:val="0"/>
        </w:numPr>
        <w:jc w:val="center"/>
        <w:rPr>
          <w:rFonts w:hint="default" w:ascii="STFangsong" w:hAnsi="STFangsong" w:eastAsia="STFangsong"/>
          <w:sz w:val="28"/>
          <w:szCs w:val="22"/>
          <w:vertAlign w:val="baseline"/>
          <w:lang w:val="en-US" w:eastAsia="zh-CN"/>
        </w:rPr>
      </w:pPr>
      <w:r>
        <w:rPr>
          <w:rFonts w:hint="default" w:ascii="STFangsong" w:hAnsi="STFangsong" w:eastAsia="STFangsong"/>
          <w:sz w:val="28"/>
          <w:szCs w:val="22"/>
          <w:vertAlign w:val="baseline"/>
          <w:lang w:val="en-US" w:eastAsia="zh-CN"/>
        </w:rPr>
        <w:drawing>
          <wp:inline distT="0" distB="0" distL="114300" distR="114300">
            <wp:extent cx="3832225" cy="4747260"/>
            <wp:effectExtent l="0" t="0" r="8255" b="7620"/>
            <wp:docPr id="2" name="图片 2" descr="摩擦摆支座参数配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摩擦摆支座参数配置2"/>
                    <pic:cNvPicPr>
                      <a:picLocks noChangeAspect="1"/>
                    </pic:cNvPicPr>
                  </pic:nvPicPr>
                  <pic:blipFill>
                    <a:blip r:embed="rId7"/>
                    <a:stretch>
                      <a:fillRect/>
                    </a:stretch>
                  </pic:blipFill>
                  <pic:spPr>
                    <a:xfrm>
                      <a:off x="0" y="0"/>
                      <a:ext cx="3832225" cy="4747260"/>
                    </a:xfrm>
                    <a:prstGeom prst="rect">
                      <a:avLst/>
                    </a:prstGeom>
                  </pic:spPr>
                </pic:pic>
              </a:graphicData>
            </a:graphic>
          </wp:inline>
        </w:drawing>
      </w:r>
    </w:p>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图4-2 摩擦摆隔震支座U1方向参数设置</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U1方向支座为轴向，，Friction Isolator 模拟器单元U1方向默认为非线性属性，具体如图4-2所示，当支座不承受任何轴向拉力时，即输入受拉时轴向刚度为0，而在本例中，线性属性有效刚度和非线性属性有效刚度均输入1e7</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sz w:val="28"/>
          <w:szCs w:val="22"/>
          <w:vertAlign w:val="baseline"/>
          <w:lang w:val="en-US" w:eastAsia="zh-CN"/>
        </w:rPr>
        <w:t>阻尼系数的作用是减轻分析中可能存在的数值振荡问题，在本例中我们设置阻尼系数为0，关于该系数取值的详情，可以参考</w:t>
      </w:r>
      <w:r>
        <w:rPr>
          <w:rFonts w:hint="eastAsia" w:ascii="STFangsong" w:hAnsi="STFangsong" w:eastAsia="STFangsong"/>
          <w:color w:val="FF0000"/>
          <w:sz w:val="28"/>
          <w:szCs w:val="22"/>
          <w:vertAlign w:val="baseline"/>
          <w:lang w:val="en-US" w:eastAsia="zh-CN"/>
        </w:rPr>
        <w:t>《软件校验手册》</w:t>
      </w:r>
      <w:r>
        <w:rPr>
          <w:rFonts w:hint="eastAsia" w:ascii="STFangsong" w:hAnsi="STFangsong" w:eastAsia="STFangsong"/>
          <w:color w:val="auto"/>
          <w:sz w:val="28"/>
          <w:szCs w:val="22"/>
          <w:vertAlign w:val="baseline"/>
          <w:lang w:val="en-US" w:eastAsia="zh-CN"/>
        </w:rPr>
        <w:t>。</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U2和U3方向为支座的水平方向，其参数输入具体如下图4-3所示。由于本文的建模模型，最上层为滑动层，双向滑动。故U2方向的属性和U3方向的属性相同，参数输入也一致。</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其中，线性分析中的有效刚度输入支座水平等效刚度，该值用于线性分析包括模态分析。</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有效阻尼输入隔振器的有效阻尼值，该值主要体现线性分析中隔震器的能量耗散能力，和隔震器的剪切刚度相关，直接表现为线性分析中隔震器的隔震效果。这里需要注意：有效阻尼和隔振器的等效阻尼不一样，不能将两者混为一谈。由于隔震器一般采用非线性时程分析，此数值在非线性分析中不发挥作用，通常设置为0。</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剪切变形位置：此处输入的数值为距离J端的绝对距离。J端指连接单元轴向，末端位置。一般输入0.</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非线性工况分析时使用的属性，主要包含以下内容：</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刚度：摩擦摆支座屈服前的刚度，本例中输入1200KN/m。</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摩擦系数-慢和摩擦系数-快按照建筑模型使用的支座型号输入。</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速率参数：该值用于描述摩擦系数随滑移速度变化的函数关系。速率参数的取值与支座承受压力及接触面条件等因素相关。</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净摆半径：该值为实际的有效半径，即滑动面半径减去面到铰点距离。本例中，型号为FPS-SX8000 摩擦摆支座面为球面，故U2,U3方向半径是相等的;如果滑动面为柱，设置其中的一个方向摆半径为0。半径为0代表滑动面为平面，可用于模拟缝-摩擦行为，例如本文中的滑动平板支座。</w:t>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drawing>
          <wp:inline distT="0" distB="0" distL="114300" distR="114300">
            <wp:extent cx="3935095" cy="5569585"/>
            <wp:effectExtent l="0" t="0" r="12065" b="8255"/>
            <wp:docPr id="3" name="图片 3" descr="摩擦摆支座参数配置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摩擦摆支座参数配置3"/>
                    <pic:cNvPicPr>
                      <a:picLocks noChangeAspect="1"/>
                    </pic:cNvPicPr>
                  </pic:nvPicPr>
                  <pic:blipFill>
                    <a:blip r:embed="rId8"/>
                    <a:stretch>
                      <a:fillRect/>
                    </a:stretch>
                  </pic:blipFill>
                  <pic:spPr>
                    <a:xfrm>
                      <a:off x="0" y="0"/>
                      <a:ext cx="3935095" cy="556958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 xml:space="preserve">图4-5 摩擦摆支座U2,U3方向参数设置 </w:t>
      </w:r>
    </w:p>
    <w:p>
      <w:pPr>
        <w:pStyle w:val="4"/>
        <w:bidi w:val="0"/>
        <w:rPr>
          <w:rFonts w:hint="eastAsia"/>
          <w:lang w:val="en-US" w:eastAsia="zh-CN"/>
        </w:rPr>
      </w:pPr>
      <w:r>
        <w:rPr>
          <w:rFonts w:hint="eastAsia"/>
          <w:lang w:val="en-US" w:eastAsia="zh-CN"/>
        </w:rPr>
        <w:t>4.2.2 带桁架建筑模型模拟结果</w:t>
      </w:r>
    </w:p>
    <w:p>
      <w:pPr>
        <w:pStyle w:val="4"/>
        <w:bidi w:val="0"/>
        <w:ind w:firstLine="420" w:firstLineChars="0"/>
        <w:rPr>
          <w:rFonts w:hint="eastAsia" w:ascii="STFangsong" w:hAnsi="STFangsong" w:eastAsia="STFangsong"/>
          <w:b w:val="0"/>
          <w:bCs/>
          <w:sz w:val="28"/>
          <w:szCs w:val="22"/>
          <w:vertAlign w:val="baseline"/>
          <w:lang w:val="en-US" w:eastAsia="zh-CN"/>
        </w:rPr>
      </w:pPr>
      <w:r>
        <w:rPr>
          <w:rFonts w:hint="eastAsia" w:ascii="STFangsong" w:hAnsi="STFangsong" w:eastAsia="STFangsong" w:cs="Times New Roman"/>
          <w:b w:val="0"/>
          <w:color w:val="auto"/>
          <w:kern w:val="2"/>
          <w:sz w:val="28"/>
          <w:szCs w:val="22"/>
          <w:vertAlign w:val="baseline"/>
          <w:lang w:val="en-US" w:eastAsia="zh-CN"/>
        </w:rPr>
        <w:t>对于带桁架的模型，其中的滑动平板支座。我们使用ETABS中的摩擦摆隔震支座模拟，由于是滑动平板支座，故</w:t>
      </w:r>
      <w:r>
        <w:rPr>
          <w:rFonts w:hint="eastAsia" w:ascii="STFangsong" w:hAnsi="STFangsong" w:eastAsia="STFangsong"/>
          <w:b w:val="0"/>
          <w:bCs/>
          <w:sz w:val="28"/>
          <w:szCs w:val="22"/>
          <w:vertAlign w:val="baseline"/>
          <w:lang w:val="en-US" w:eastAsia="zh-CN"/>
        </w:rPr>
        <w:t>Friction Isolator模拟器的参数具体设置见图4-5，图4-6，图4-7。</w:t>
      </w:r>
    </w:p>
    <w:p>
      <w:pPr>
        <w:jc w:val="center"/>
        <w:rPr>
          <w:rFonts w:hint="default"/>
          <w:lang w:val="en-US" w:eastAsia="zh-CN"/>
        </w:rPr>
      </w:pPr>
      <w:r>
        <w:rPr>
          <w:rFonts w:hint="default"/>
          <w:lang w:val="en-US" w:eastAsia="zh-CN"/>
        </w:rPr>
        <w:drawing>
          <wp:inline distT="0" distB="0" distL="114300" distR="114300">
            <wp:extent cx="5317490" cy="4257675"/>
            <wp:effectExtent l="0" t="0" r="1270" b="9525"/>
            <wp:docPr id="7" name="图片 7" descr="输入摩擦摆支座参数配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输入摩擦摆支座参数配置1"/>
                    <pic:cNvPicPr>
                      <a:picLocks noChangeAspect="1"/>
                    </pic:cNvPicPr>
                  </pic:nvPicPr>
                  <pic:blipFill>
                    <a:blip r:embed="rId9"/>
                    <a:stretch>
                      <a:fillRect/>
                    </a:stretch>
                  </pic:blipFill>
                  <pic:spPr>
                    <a:xfrm>
                      <a:off x="0" y="0"/>
                      <a:ext cx="5317490" cy="425767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图4-5本案例中滑动平板支座模拟参数设置</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其中有效刚度可以近似的等于滑动平板的刚度，摩擦系数按照滑动平板支座的真实摩擦系数取值，在水平面即U2、U3方向，由于滑动平板支座支撑面水平，故我们将净摆半径设置为0，速率参数我们取0.03，具体取值流程参见</w:t>
      </w:r>
      <w:r>
        <w:rPr>
          <w:rFonts w:hint="eastAsia" w:ascii="STFangsong" w:hAnsi="STFangsong" w:eastAsia="STFangsong"/>
          <w:sz w:val="28"/>
          <w:szCs w:val="22"/>
          <w:vertAlign w:val="baseline"/>
          <w:lang w:val="en-US" w:eastAsia="zh-CN"/>
        </w:rPr>
        <w:t>参考</w:t>
      </w:r>
      <w:r>
        <w:rPr>
          <w:rFonts w:hint="eastAsia" w:ascii="STFangsong" w:hAnsi="STFangsong" w:eastAsia="STFangsong"/>
          <w:color w:val="FF0000"/>
          <w:sz w:val="28"/>
          <w:szCs w:val="22"/>
          <w:vertAlign w:val="baseline"/>
          <w:lang w:val="en-US" w:eastAsia="zh-CN"/>
        </w:rPr>
        <w:t>《软件校验手册》</w:t>
      </w:r>
      <w:r>
        <w:rPr>
          <w:rFonts w:hint="eastAsia" w:ascii="STFangsong" w:hAnsi="STFangsong" w:eastAsia="STFangsong"/>
          <w:color w:val="auto"/>
          <w:sz w:val="28"/>
          <w:szCs w:val="22"/>
          <w:vertAlign w:val="baseline"/>
          <w:lang w:val="en-US" w:eastAsia="zh-CN"/>
        </w:rPr>
        <w:t>。</w:t>
      </w:r>
    </w:p>
    <w:p>
      <w:pPr>
        <w:numPr>
          <w:ilvl w:val="0"/>
          <w:numId w:val="0"/>
        </w:numPr>
        <w:jc w:val="both"/>
        <w:rPr>
          <w:rFonts w:hint="default" w:ascii="STFangsong" w:hAnsi="STFangsong" w:eastAsia="STFangsong"/>
          <w:color w:val="auto"/>
          <w:sz w:val="28"/>
          <w:szCs w:val="22"/>
          <w:vertAlign w:val="baseline"/>
          <w:lang w:val="en-US" w:eastAsia="zh-CN"/>
        </w:rPr>
      </w:pPr>
    </w:p>
    <w:p>
      <w:pPr>
        <w:jc w:val="center"/>
        <w:rPr>
          <w:rFonts w:hint="default"/>
          <w:lang w:val="en-US" w:eastAsia="zh-CN"/>
        </w:rPr>
      </w:pPr>
      <w:r>
        <w:rPr>
          <w:rFonts w:hint="default"/>
          <w:lang w:val="en-US" w:eastAsia="zh-CN"/>
        </w:rPr>
        <w:drawing>
          <wp:inline distT="0" distB="0" distL="114300" distR="114300">
            <wp:extent cx="2997200" cy="3763645"/>
            <wp:effectExtent l="0" t="0" r="5080" b="635"/>
            <wp:docPr id="8" name="图片 8" descr="输入摩擦摆支座参数配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输入摩擦摆支座参数配置2"/>
                    <pic:cNvPicPr>
                      <a:picLocks noChangeAspect="1"/>
                    </pic:cNvPicPr>
                  </pic:nvPicPr>
                  <pic:blipFill>
                    <a:blip r:embed="rId10"/>
                    <a:stretch>
                      <a:fillRect/>
                    </a:stretch>
                  </pic:blipFill>
                  <pic:spPr>
                    <a:xfrm>
                      <a:off x="0" y="0"/>
                      <a:ext cx="2997200" cy="3763645"/>
                    </a:xfrm>
                    <a:prstGeom prst="rect">
                      <a:avLst/>
                    </a:prstGeom>
                  </pic:spPr>
                </pic:pic>
              </a:graphicData>
            </a:graphic>
          </wp:inline>
        </w:drawing>
      </w:r>
    </w:p>
    <w:p>
      <w:pPr>
        <w:numPr>
          <w:ilvl w:val="0"/>
          <w:numId w:val="0"/>
        </w:numPr>
        <w:jc w:val="center"/>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图4-6 滑动平板支座模拟U1方向参数</w:t>
      </w:r>
    </w:p>
    <w:p>
      <w:pPr>
        <w:jc w:val="center"/>
        <w:rPr>
          <w:rFonts w:hint="default"/>
          <w:lang w:val="en-US" w:eastAsia="zh-CN"/>
        </w:rPr>
      </w:pPr>
      <w:r>
        <w:rPr>
          <w:rFonts w:hint="default"/>
          <w:lang w:val="en-US" w:eastAsia="zh-CN"/>
        </w:rPr>
        <w:drawing>
          <wp:inline distT="0" distB="0" distL="114300" distR="114300">
            <wp:extent cx="3029585" cy="4199255"/>
            <wp:effectExtent l="0" t="0" r="3175" b="6985"/>
            <wp:docPr id="9" name="图片 9" descr="输入摩擦摆支座参数配置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输入摩擦摆支座参数配置3"/>
                    <pic:cNvPicPr>
                      <a:picLocks noChangeAspect="1"/>
                    </pic:cNvPicPr>
                  </pic:nvPicPr>
                  <pic:blipFill>
                    <a:blip r:embed="rId11"/>
                    <a:stretch>
                      <a:fillRect/>
                    </a:stretch>
                  </pic:blipFill>
                  <pic:spPr>
                    <a:xfrm>
                      <a:off x="0" y="0"/>
                      <a:ext cx="3029585" cy="4199255"/>
                    </a:xfrm>
                    <a:prstGeom prst="rect">
                      <a:avLst/>
                    </a:prstGeom>
                  </pic:spPr>
                </pic:pic>
              </a:graphicData>
            </a:graphic>
          </wp:inline>
        </w:drawing>
      </w:r>
    </w:p>
    <w:p>
      <w:pPr>
        <w:numPr>
          <w:ilvl w:val="0"/>
          <w:numId w:val="0"/>
        </w:numPr>
        <w:jc w:val="center"/>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图4-7滑动平板支座的模拟U2,U3方向参数</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由于在4.1节中，我们已经验证了ETABS和SATWE两种软件的正确性。为了方便对比方案1与方案2的模拟结果，我们用ETABS无桁架模型的模拟结果和ETABS带桁架模型的模拟结果进行对比。</w:t>
      </w:r>
    </w:p>
    <w:p>
      <w:pPr>
        <w:numPr>
          <w:ilvl w:val="0"/>
          <w:numId w:val="0"/>
        </w:numPr>
        <w:ind w:firstLine="420" w:firstLineChars="0"/>
        <w:jc w:val="both"/>
        <w:rPr>
          <w:rFonts w:hint="eastAsia"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对比误差计算表达式，我们用下式表示：</w:t>
      </w:r>
    </w:p>
    <w:p>
      <w:pPr>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误差计算表达式为：</w:t>
      </w:r>
    </w:p>
    <w:p>
      <w:pPr>
        <w:jc w:val="center"/>
        <w:rPr>
          <w:rFonts w:hint="eastAsia" w:ascii="STFangsong" w:hAnsi="STFangsong" w:eastAsia="STFangsong"/>
          <w:sz w:val="28"/>
          <w:szCs w:val="22"/>
          <w:lang w:val="en-US" w:eastAsia="zh-CN"/>
        </w:rPr>
      </w:pPr>
      <w:r>
        <w:rPr>
          <w:rFonts w:hint="default" w:ascii="STFangsong" w:hAnsi="STFangsong" w:eastAsia="STFangsong"/>
          <w:position w:val="-28"/>
          <w:sz w:val="28"/>
          <w:szCs w:val="22"/>
          <w:lang w:val="en-US" w:eastAsia="zh-CN"/>
        </w:rPr>
        <w:object>
          <v:shape id="_x0000_i1026" o:spt="75" type="#_x0000_t75" style="height:33pt;width:177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(1)</w:t>
      </w:r>
    </w:p>
    <w:p>
      <w:pPr>
        <w:ind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上式中，</w:t>
      </w:r>
      <w:r>
        <w:rPr>
          <w:rFonts w:hint="eastAsia" w:ascii="STFangsong" w:hAnsi="STFangsong" w:eastAsia="STFangsong"/>
          <w:sz w:val="28"/>
          <w:szCs w:val="22"/>
          <w:lang w:val="en-US" w:eastAsia="zh-CN"/>
        </w:rPr>
        <w:tab/>
      </w:r>
      <w:r>
        <w:rPr>
          <w:rFonts w:hint="eastAsia" w:ascii="STFangsong" w:hAnsi="STFangsong" w:eastAsia="STFangsong"/>
          <w:sz w:val="28"/>
          <w:szCs w:val="22"/>
          <w:lang w:val="en-US" w:eastAsia="zh-CN"/>
        </w:rPr>
        <w:t>ETABS_W：ETABS_W带桁架模型计算出的结果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ETABS_Q：ETABS_Q不带桁架模型计算出的结果</w:t>
      </w:r>
    </w:p>
    <w:p>
      <w:pPr>
        <w:ind w:left="1260" w:leftChars="0" w:firstLine="420" w:firstLineChars="0"/>
        <w:jc w:val="both"/>
        <w:rPr>
          <w:rFonts w:hint="eastAsia" w:ascii="STFangsong" w:hAnsi="STFangsong" w:eastAsia="STFangsong"/>
          <w:sz w:val="28"/>
          <w:szCs w:val="22"/>
          <w:lang w:val="en-US" w:eastAsia="zh-CN"/>
        </w:rPr>
      </w:pPr>
      <w:r>
        <w:rPr>
          <w:rFonts w:hint="eastAsia" w:ascii="STFangsong" w:hAnsi="STFangsong" w:eastAsia="STFangsong"/>
          <w:sz w:val="28"/>
          <w:szCs w:val="22"/>
          <w:lang w:val="en-US" w:eastAsia="zh-CN"/>
        </w:rPr>
        <w:t>d:表示误差值</w:t>
      </w:r>
    </w:p>
    <w:p>
      <w:pPr>
        <w:numPr>
          <w:ilvl w:val="0"/>
          <w:numId w:val="0"/>
        </w:numPr>
        <w:ind w:firstLine="420" w:firstLineChars="0"/>
        <w:jc w:val="both"/>
        <w:rPr>
          <w:rFonts w:hint="default" w:ascii="STFangsong" w:hAnsi="STFangsong" w:eastAsia="STFangsong"/>
          <w:color w:val="auto"/>
          <w:sz w:val="28"/>
          <w:szCs w:val="22"/>
          <w:vertAlign w:val="baseline"/>
          <w:lang w:val="en-US" w:eastAsia="zh-CN"/>
        </w:rPr>
      </w:pP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带桁架模型模拟计算结果的周期：</w:t>
      </w:r>
    </w:p>
    <w:p>
      <w:pPr>
        <w:numPr>
          <w:ilvl w:val="0"/>
          <w:numId w:val="0"/>
        </w:numPr>
        <w:jc w:val="both"/>
        <w:rPr>
          <w:rFonts w:hint="eastAsia" w:ascii="STFangsong" w:hAnsi="STFangsong" w:eastAsia="STFangsong"/>
          <w:color w:val="FF0000"/>
          <w:sz w:val="28"/>
          <w:szCs w:val="22"/>
          <w:vertAlign w:val="baseline"/>
          <w:lang w:val="en-US" w:eastAsia="zh-CN"/>
        </w:rPr>
      </w:pPr>
      <w:r>
        <w:rPr>
          <w:rFonts w:hint="eastAsia" w:ascii="STFangsong" w:hAnsi="STFangsong" w:eastAsia="STFangsong"/>
          <w:color w:val="auto"/>
          <w:sz w:val="28"/>
          <w:szCs w:val="22"/>
          <w:vertAlign w:val="baseline"/>
          <w:lang w:val="en-US" w:eastAsia="zh-CN"/>
        </w:rPr>
        <w:t>计算结果表明，在ETABS带桁架的模拟结果中，各个方向的振型质量参与系数均大于90%，符合规范的要求，对于第一周期，带桁架模型的模拟结果和不带桁架模型模拟结果均小于《高规》规定的0.85，可以认为是符合要求，但是两种模型模拟结果的误差为</w:t>
      </w:r>
      <w:r>
        <w:rPr>
          <w:rFonts w:hint="eastAsia" w:ascii="STFangsong" w:hAnsi="STFangsong" w:eastAsia="STFangsong"/>
          <w:color w:val="FF0000"/>
          <w:sz w:val="28"/>
          <w:szCs w:val="22"/>
          <w:vertAlign w:val="baseline"/>
          <w:lang w:val="en-US" w:eastAsia="zh-CN"/>
        </w:rPr>
        <w:t>100%</w:t>
      </w:r>
    </w:p>
    <w:p>
      <w:pPr>
        <w:numPr>
          <w:ilvl w:val="0"/>
          <w:numId w:val="0"/>
        </w:numPr>
        <w:jc w:val="both"/>
        <w:rPr>
          <w:rFonts w:hint="eastAsia" w:ascii="STFangsong" w:hAnsi="STFangsong" w:eastAsia="STFangsong"/>
          <w:color w:val="FF0000"/>
          <w:sz w:val="28"/>
          <w:szCs w:val="22"/>
          <w:vertAlign w:val="baseline"/>
          <w:lang w:val="en-US" w:eastAsia="zh-CN"/>
        </w:rPr>
      </w:pPr>
      <w:r>
        <w:rPr>
          <w:rFonts w:hint="eastAsia" w:ascii="STFangsong" w:hAnsi="STFangsong" w:eastAsia="STFangsong"/>
          <w:color w:val="FF0000"/>
          <w:sz w:val="28"/>
          <w:szCs w:val="22"/>
          <w:vertAlign w:val="baseline"/>
          <w:lang w:val="en-US" w:eastAsia="zh-CN"/>
        </w:rPr>
        <w:t>表：</w:t>
      </w:r>
    </w:p>
    <w:p>
      <w:pPr>
        <w:numPr>
          <w:ilvl w:val="0"/>
          <w:numId w:val="0"/>
        </w:numPr>
        <w:jc w:val="both"/>
        <w:rPr>
          <w:rFonts w:hint="default" w:ascii="STFangsong" w:hAnsi="STFangsong" w:eastAsia="STFangsong"/>
          <w:color w:val="FF0000"/>
          <w:sz w:val="28"/>
          <w:szCs w:val="22"/>
          <w:vertAlign w:val="baseline"/>
          <w:lang w:val="en-US" w:eastAsia="zh-CN"/>
        </w:rPr>
      </w:pPr>
      <w:r>
        <w:rPr>
          <w:rFonts w:hint="eastAsia" w:ascii="STFangsong" w:hAnsi="STFangsong" w:eastAsia="STFangsong"/>
          <w:color w:val="FF0000"/>
          <w:sz w:val="28"/>
          <w:szCs w:val="22"/>
          <w:vertAlign w:val="baseline"/>
          <w:lang w:val="en-US" w:eastAsia="zh-CN"/>
        </w:rPr>
        <w:t>前三阶振型图：</w:t>
      </w: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带桁架模型模拟计算结果的剪力以及剪重比</w:t>
      </w:r>
    </w:p>
    <w:p>
      <w:pPr>
        <w:numPr>
          <w:ilvl w:val="0"/>
          <w:numId w:val="0"/>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计算结果表明，带桁架模型模拟结果的剪重比和不带桁架模型模拟结果的剪重比均满足</w:t>
      </w:r>
      <w:r>
        <w:rPr>
          <w:rFonts w:hint="eastAsia" w:ascii="STFangsong" w:hAnsi="STFangsong" w:eastAsia="STFangsong"/>
          <w:sz w:val="28"/>
          <w:szCs w:val="22"/>
          <w:vertAlign w:val="baseline"/>
          <w:lang w:val="en-US" w:eastAsia="zh-CN"/>
        </w:rPr>
        <w:t>《抗规》5.2.5条规定，7度(0.10g)设防地区，水平地震影响系数最大值为0.08，X、Y向楼层剪重比不应小于1.60%。的要求。但是就模拟结果而言，与理论推导的结果基本一致，在ETABS中用摩擦摆隔震支座模拟的结果更优，具有更优的抗震能力。</w:t>
      </w:r>
    </w:p>
    <w:p>
      <w:pPr>
        <w:numPr>
          <w:ilvl w:val="0"/>
          <w:numId w:val="2"/>
        </w:numPr>
        <w:ind w:firstLine="420" w:firstLineChars="0"/>
        <w:jc w:val="both"/>
        <w:rPr>
          <w:rFonts w:hint="default" w:ascii="STFangsong" w:hAnsi="STFangsong" w:eastAsia="STFangsong"/>
          <w:color w:val="auto"/>
          <w:sz w:val="28"/>
          <w:szCs w:val="22"/>
          <w:vertAlign w:val="baseline"/>
          <w:lang w:val="en-US" w:eastAsia="zh-CN"/>
        </w:rPr>
      </w:pPr>
      <w:r>
        <w:rPr>
          <w:rFonts w:hint="eastAsia" w:ascii="STFangsong" w:hAnsi="STFangsong" w:eastAsia="STFangsong"/>
          <w:color w:val="auto"/>
          <w:sz w:val="28"/>
          <w:szCs w:val="22"/>
          <w:vertAlign w:val="baseline"/>
          <w:lang w:val="en-US" w:eastAsia="zh-CN"/>
        </w:rPr>
        <w:t>位移</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高规》3.7.3条规定：对于高度不大于150m的框剪结构，按弹性方法计算的风荷载或多遇地震标准值作用下的楼层层间最大水平位移与层高之比△u／h不宜大于1/800，对于高度不小于250m的高层建筑，其楼层层间最大位移与层高之比△u／h不宜大于1/500，结构设定的限值为1/800。对模拟结果总结以后，可以发现，两种模型的模拟结果都满足规范的要求。</w:t>
      </w:r>
    </w:p>
    <w:p>
      <w:pPr>
        <w:numPr>
          <w:ilvl w:val="0"/>
          <w:numId w:val="0"/>
        </w:numPr>
        <w:ind w:firstLine="420" w:firstLineChars="0"/>
        <w:jc w:val="both"/>
        <w:rPr>
          <w:rFonts w:hint="eastAsia" w:ascii="STFangsong" w:hAnsi="STFangsong" w:eastAsia="STFangsong"/>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4.2节小结：</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在本节内容中，我们主要讨论两种设计方案对比，经过对不同方案下模型的模拟，我们可以总结以下几点</w:t>
      </w:r>
    </w:p>
    <w:p>
      <w:pPr>
        <w:numPr>
          <w:ilvl w:val="0"/>
          <w:numId w:val="3"/>
        </w:numPr>
        <w:ind w:firstLine="420" w:firstLineChars="0"/>
        <w:jc w:val="both"/>
        <w:rPr>
          <w:rFonts w:hint="default"/>
          <w:lang w:val="en-US" w:eastAsia="zh-CN"/>
        </w:rPr>
      </w:pPr>
      <w:r>
        <w:rPr>
          <w:rFonts w:hint="eastAsia" w:ascii="STFangsong" w:hAnsi="STFangsong" w:eastAsia="STFangsong"/>
          <w:sz w:val="28"/>
          <w:szCs w:val="22"/>
          <w:vertAlign w:val="baseline"/>
          <w:lang w:val="en-US" w:eastAsia="zh-CN"/>
        </w:rPr>
        <w:t>就设计方案而言，方案一和方案的结果均能满足规范的基本要求，保证结构第一水准“小震不倒”的设计要求。</w:t>
      </w:r>
    </w:p>
    <w:p>
      <w:pPr>
        <w:numPr>
          <w:ilvl w:val="0"/>
          <w:numId w:val="3"/>
        </w:numPr>
        <w:ind w:firstLine="420" w:firstLineChars="0"/>
        <w:jc w:val="both"/>
        <w:rPr>
          <w:rFonts w:hint="default"/>
          <w:lang w:val="en-US" w:eastAsia="zh-CN"/>
        </w:rPr>
      </w:pPr>
      <w:r>
        <w:rPr>
          <w:rFonts w:hint="eastAsia" w:ascii="STFangsong" w:hAnsi="STFangsong" w:eastAsia="STFangsong"/>
          <w:sz w:val="28"/>
          <w:szCs w:val="22"/>
          <w:vertAlign w:val="baseline"/>
          <w:lang w:val="en-US" w:eastAsia="zh-CN"/>
        </w:rPr>
        <w:t>同过对方案1和方案2的对比，我们发现方案2，将滑动平板支座用ETABS中的摩擦摆隔震支座模拟，得到的模拟结果更加符合理论值。也就是说，将上部滑动层简化为恒定荷载的设计方案1，是存在设计缺陷的，在以后的工程实践中，不建议使用。</w:t>
      </w:r>
    </w:p>
    <w:p>
      <w:pPr>
        <w:pStyle w:val="3"/>
        <w:bidi w:val="0"/>
        <w:rPr>
          <w:rFonts w:hint="eastAsia"/>
          <w:lang w:val="en-US" w:eastAsia="zh-CN"/>
        </w:rPr>
      </w:pPr>
      <w:r>
        <w:rPr>
          <w:rFonts w:hint="eastAsia"/>
          <w:lang w:val="en-US" w:eastAsia="zh-CN"/>
        </w:rPr>
        <w:t>4.3 带桁架结构的弹性是时程分析</w:t>
      </w:r>
    </w:p>
    <w:p>
      <w:pPr>
        <w:numPr>
          <w:ilvl w:val="0"/>
          <w:numId w:val="0"/>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由于前面对结构进行了小震下的数值模拟，因此在此节，我们只做结构在中震（设防烈度）下的时程分析。</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在不同地区，通过对大量的地震加速度谱统计回归，总结而得反应谱。反应谱地震计算，可以在统计意义上确保建筑物的真实抗震效果。对于结构规则，较底高度的建筑，反应谱法可以满足抗震设防要求。但是对于本文中的超限结构，不规则建筑物，使用振型分解反应谱法的结果并不保守，因为无法考虑高阶振型对建筑物的影响。因此，我们必须对不规则建筑物或超限建筑做补充计算，补充计算我们一般使用弹性时程分析法。而且高规[26]第 4.3.4 条文中第 3 条规定的建筑，则应该对结构进行多遇地震作用下的弹性时程补充计算。</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由于本文的案例属于超限建筑，有薄弱层，因此，我们必须做弹性时程分析补充计算，以确保结构的抗震性能。</w:t>
      </w:r>
    </w:p>
    <w:p>
      <w:pPr>
        <w:pStyle w:val="3"/>
        <w:bidi w:val="0"/>
        <w:rPr>
          <w:rFonts w:hint="default"/>
          <w:lang w:val="en-US" w:eastAsia="zh-CN"/>
        </w:rPr>
      </w:pPr>
      <w:r>
        <w:rPr>
          <w:rFonts w:hint="eastAsia"/>
          <w:lang w:val="en-US" w:eastAsia="zh-CN"/>
        </w:rPr>
        <w:t>4.3.1 时程分析地震波的选取</w:t>
      </w:r>
    </w:p>
    <w:p>
      <w:pPr>
        <w:numPr>
          <w:ilvl w:val="0"/>
          <w:numId w:val="0"/>
        </w:numPr>
        <w:ind w:firstLine="420" w:firstLineChars="0"/>
        <w:jc w:val="both"/>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根据《建筑抗震设计规范》（GB 50011-2010）第 5.1.2 条的规定，采用时程分析法时， 应按建筑场地类别和设计地震分组选用实际强震记录和人工模拟的加速度时程曲线，其中实 际强震记录的数量不应少于总数的 2/3。 对于本结构的弹性时程分析，依据规范要求，在波形的数量上，采用2条天然波和1条人工拟合波。</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并且选择的时程曲线应该和振型分解反应谱法使用的地震影响系数曲线在统计意义上相符，即：每条时程曲线计算所得的结构底部剪力均超过振型分解反应谱法计算结果的 65%，3 条时程曲线计算所得的结构底部剪力平均值大于振型分解反应谱法计算结果的 80%。</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依据高规4.3.5，由于本工程建设在烈度为7度的地区，设计基本加速度取0.10g，峰值加速度为35</w:t>
      </w:r>
      <w:r>
        <w:rPr>
          <w:rFonts w:hint="eastAsia" w:ascii="STFangsong" w:hAnsi="STFangsong" w:eastAsia="STFangsong"/>
          <w:position w:val="-6"/>
          <w:sz w:val="28"/>
          <w:szCs w:val="22"/>
          <w:vertAlign w:val="baseline"/>
          <w:lang w:val="en-US" w:eastAsia="zh-CN"/>
        </w:rPr>
        <w:object>
          <v:shape id="_x0000_i1027" o:spt="75" type="#_x0000_t75" style="height:16pt;width:35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eastAsia" w:ascii="STFangsong" w:hAnsi="STFangsong" w:eastAsia="STFangsong"/>
          <w:sz w:val="28"/>
          <w:szCs w:val="22"/>
          <w:vertAlign w:val="baseline"/>
          <w:lang w:val="en-US" w:eastAsia="zh-CN"/>
        </w:rPr>
        <w:t>(gal)；在地震波有效时长，依据高贵，地震波的有效持续时间不宜小于建筑结构基本自振周期的5倍和15s。针对本工程，结构的基本自振周期为7s左右，有效持持续时间不宜小于35s。关于地震波的频谱特性，依据规范，在结构主要振型所对应的周期上，波普转换后与规范反应谱正负相差不大于20%。</w:t>
      </w: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本文从太平洋地震工程研究中心地震数据库中选取三条地震波如下表所示：</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名称</w:t>
            </w:r>
          </w:p>
        </w:tc>
        <w:tc>
          <w:tcPr>
            <w:tcW w:w="2130"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时间</w:t>
            </w:r>
          </w:p>
        </w:tc>
        <w:tc>
          <w:tcPr>
            <w:tcW w:w="4262"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发生地点(采集台站)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IMPERIAL VALLEY</w:t>
            </w:r>
          </w:p>
        </w:tc>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5/19/1940</w:t>
            </w:r>
          </w:p>
        </w:tc>
        <w:tc>
          <w:tcPr>
            <w:tcW w:w="4262"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EL CENTRO ARRAY #9, 270 (USGS STATION 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SAN FERNANDO</w:t>
            </w:r>
          </w:p>
        </w:tc>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02/09/1971</w:t>
            </w:r>
          </w:p>
        </w:tc>
        <w:tc>
          <w:tcPr>
            <w:tcW w:w="4262"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SANTA FELICIA DAM, 172 (CDMG STATION 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COALINGA</w:t>
            </w:r>
          </w:p>
        </w:tc>
        <w:tc>
          <w:tcPr>
            <w:tcW w:w="2130" w:type="dxa"/>
            <w:vAlign w:val="center"/>
          </w:tcPr>
          <w:p>
            <w:pPr>
              <w:numPr>
                <w:ilvl w:val="0"/>
                <w:numId w:val="0"/>
              </w:numPr>
              <w:jc w:val="center"/>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05/02/1983</w:t>
            </w:r>
          </w:p>
        </w:tc>
        <w:tc>
          <w:tcPr>
            <w:tcW w:w="4262" w:type="dxa"/>
            <w:vAlign w:val="center"/>
          </w:tcPr>
          <w:p>
            <w:pPr>
              <w:numPr>
                <w:ilvl w:val="0"/>
                <w:numId w:val="0"/>
              </w:numPr>
              <w:jc w:val="center"/>
              <w:rPr>
                <w:rFonts w:hint="default"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PARKFIELD - FAULT ZONE 12, 090 (CDMG STATION 36138)</w:t>
            </w:r>
          </w:p>
        </w:tc>
      </w:tr>
    </w:tbl>
    <w:p>
      <w:pPr>
        <w:numPr>
          <w:ilvl w:val="0"/>
          <w:numId w:val="0"/>
        </w:numPr>
        <w:jc w:val="center"/>
        <w:rPr>
          <w:rFonts w:hint="eastAsia" w:ascii="STFangsong" w:hAnsi="STFangsong" w:eastAsia="STFangsong"/>
          <w:sz w:val="28"/>
          <w:szCs w:val="22"/>
          <w:vertAlign w:val="baseline"/>
          <w:lang w:val="en-US" w:eastAsia="zh-CN"/>
        </w:rPr>
      </w:pPr>
    </w:p>
    <w:p>
      <w:pPr>
        <w:numPr>
          <w:ilvl w:val="0"/>
          <w:numId w:val="0"/>
        </w:numPr>
        <w:ind w:firstLine="420" w:firstLineChars="0"/>
        <w:jc w:val="both"/>
        <w:rPr>
          <w:rFonts w:hint="eastAsia" w:ascii="STFangsong" w:hAnsi="STFangsong" w:eastAsia="STFangsong"/>
          <w:sz w:val="28"/>
          <w:szCs w:val="22"/>
          <w:vertAlign w:val="baseline"/>
          <w:lang w:val="en-US" w:eastAsia="zh-CN"/>
        </w:rPr>
      </w:pPr>
      <w:r>
        <w:rPr>
          <w:rFonts w:hint="eastAsia" w:ascii="STFangsong" w:hAnsi="STFangsong" w:eastAsia="STFangsong"/>
          <w:sz w:val="28"/>
          <w:szCs w:val="22"/>
          <w:vertAlign w:val="baseline"/>
          <w:lang w:val="en-US" w:eastAsia="zh-CN"/>
        </w:rPr>
        <w:t>三条地震波的主方向波形图分别如下图4-8，图 4-9，图4-9所示</w:t>
      </w:r>
    </w:p>
    <w:p>
      <w:pPr>
        <w:numPr>
          <w:ilvl w:val="0"/>
          <w:numId w:val="0"/>
        </w:numPr>
        <w:jc w:val="both"/>
        <w:rPr>
          <w:rFonts w:hint="eastAsia" w:ascii="STFangsong" w:hAnsi="STFangsong" w:eastAsia="STFangsong"/>
          <w:sz w:val="28"/>
          <w:szCs w:val="22"/>
          <w:vertAlign w:val="baseline"/>
          <w:lang w:val="en-US" w:eastAsia="zh-CN"/>
        </w:rPr>
      </w:pPr>
    </w:p>
    <w:p>
      <w:pPr>
        <w:pStyle w:val="4"/>
        <w:bidi w:val="0"/>
        <w:rPr>
          <w:rFonts w:hint="eastAsia"/>
          <w:lang w:val="en-US" w:eastAsia="zh-CN"/>
        </w:rPr>
      </w:pPr>
      <w:r>
        <w:rPr>
          <w:rFonts w:hint="eastAsia"/>
          <w:lang w:val="en-US" w:eastAsia="zh-CN"/>
        </w:rPr>
        <w:t>4.3.2 设防地震弹性时程分析结果</w:t>
      </w:r>
    </w:p>
    <w:p>
      <w:pPr>
        <w:rPr>
          <w:rFonts w:hint="default"/>
          <w:lang w:val="en-US" w:eastAsia="zh-CN"/>
        </w:rPr>
      </w:pPr>
    </w:p>
    <w:p>
      <w:pPr>
        <w:pStyle w:val="4"/>
        <w:bidi w:val="0"/>
        <w:ind w:firstLine="420" w:firstLineChars="0"/>
        <w:rPr>
          <w:rFonts w:hint="eastAsia"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地震波验算。依据规范，每条时程曲线所模拟的结构基底剪力均应超过反应谱法计算结果的64%，3条时程曲线模拟所得的结构基地剪力平均值大于振型分解反应谱法计算结果的80%。从计算模拟的结果中提取不同时程函数模拟所得的结果，具体如下表所示：</w:t>
      </w:r>
    </w:p>
    <w:p>
      <w:pPr>
        <w:jc w:val="center"/>
        <w:rPr>
          <w:rFonts w:hint="eastAsia"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表4-8 地震波验算结果</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Merge w:val="restart"/>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工况</w:t>
            </w:r>
          </w:p>
        </w:tc>
        <w:tc>
          <w:tcPr>
            <w:tcW w:w="3408" w:type="dxa"/>
            <w:gridSpan w:val="2"/>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Y向</w:t>
            </w:r>
          </w:p>
        </w:tc>
        <w:tc>
          <w:tcPr>
            <w:tcW w:w="3410" w:type="dxa"/>
            <w:gridSpan w:val="2"/>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X向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Merge w:val="continue"/>
            <w:tcBorders/>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基地剪力</w:t>
            </w:r>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default" w:ascii="STFangsong" w:hAnsi="STFangsong" w:eastAsia="STFangsong" w:cs="Times New Roman"/>
                <w:b w:val="0"/>
                <w:kern w:val="2"/>
                <w:position w:val="-26"/>
                <w:sz w:val="28"/>
                <w:szCs w:val="22"/>
                <w:vertAlign w:val="baseline"/>
                <w:lang w:val="en-US" w:eastAsia="zh-CN"/>
              </w:rPr>
              <w:object>
                <v:shape id="_x0000_i1028" o:spt="75" type="#_x0000_t75" style="height:33pt;width:41pt;" o:ole="t" filled="f" o:preferrelative="t" stroked="f" coordsize="21600,21600">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基地剪力</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default" w:ascii="STFangsong" w:hAnsi="STFangsong" w:eastAsia="STFangsong" w:cs="Times New Roman"/>
                <w:b w:val="0"/>
                <w:kern w:val="2"/>
                <w:position w:val="-26"/>
                <w:sz w:val="28"/>
                <w:szCs w:val="22"/>
                <w:vertAlign w:val="baseline"/>
                <w:lang w:val="en-US" w:eastAsia="zh-CN"/>
              </w:rPr>
              <w:object>
                <v:shape id="_x0000_i1029" o:spt="75" type="#_x0000_t75" style="height:33pt;width:41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29" r:id="rId1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反应谱</w:t>
            </w:r>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15270.0</w:t>
            </w:r>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14133.1</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137859.1</w:t>
            </w:r>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bookmarkStart w:id="0" w:name="_GoBack"/>
            <w:r>
              <w:rPr>
                <w:rFonts w:hint="eastAsia" w:ascii="STFangsong" w:hAnsi="STFangsong" w:eastAsia="STFangsong" w:cs="Times New Roman"/>
                <w:b w:val="0"/>
                <w:kern w:val="2"/>
                <w:sz w:val="28"/>
                <w:szCs w:val="22"/>
                <w:vertAlign w:val="baseline"/>
                <w:lang w:val="en-US" w:eastAsia="zh-CN"/>
              </w:rPr>
              <w:t>15869</w:t>
            </w:r>
            <w:bookmarkEnd w:id="0"/>
            <w:r>
              <w:rPr>
                <w:rFonts w:hint="eastAsia" w:ascii="STFangsong" w:hAnsi="STFangsong" w:eastAsia="STFangsong" w:cs="Times New Roman"/>
                <w:b w:val="0"/>
                <w:kern w:val="2"/>
                <w:sz w:val="28"/>
                <w:szCs w:val="22"/>
                <w:vertAlign w:val="baseline"/>
                <w:lang w:val="en-US" w:eastAsia="zh-CN"/>
              </w:rPr>
              <w:t>.0</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99776.4</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r>
              <w:rPr>
                <w:rFonts w:hint="eastAsia" w:ascii="STFangsong" w:hAnsi="STFangsong" w:eastAsia="STFangsong" w:cs="Times New Roman"/>
                <w:b w:val="0"/>
                <w:kern w:val="2"/>
                <w:sz w:val="28"/>
                <w:szCs w:val="22"/>
                <w:vertAlign w:val="baseline"/>
                <w:lang w:val="en-US" w:eastAsia="zh-CN"/>
              </w:rPr>
              <w:t>138771.1</w:t>
            </w: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4"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p>
        </w:tc>
        <w:tc>
          <w:tcPr>
            <w:tcW w:w="1705" w:type="dxa"/>
            <w:vAlign w:val="center"/>
          </w:tcPr>
          <w:p>
            <w:pPr>
              <w:jc w:val="center"/>
              <w:rPr>
                <w:rFonts w:hint="default" w:ascii="STFangsong" w:hAnsi="STFangsong" w:eastAsia="STFangsong" w:cs="Times New Roman"/>
                <w:b w:val="0"/>
                <w:kern w:val="2"/>
                <w:sz w:val="28"/>
                <w:szCs w:val="22"/>
                <w:vertAlign w:val="baseline"/>
                <w:lang w:val="en-US" w:eastAsia="zh-CN"/>
              </w:rPr>
            </w:pPr>
          </w:p>
        </w:tc>
      </w:tr>
    </w:tbl>
    <w:p>
      <w:pPr>
        <w:jc w:val="center"/>
        <w:rPr>
          <w:rFonts w:hint="default" w:ascii="STFangsong" w:hAnsi="STFangsong" w:eastAsia="STFangsong" w:cs="Times New Roman"/>
          <w:b w:val="0"/>
          <w:kern w:val="2"/>
          <w:sz w:val="28"/>
          <w:szCs w:val="22"/>
          <w:vertAlign w:val="baseline"/>
          <w:lang w:val="en-US" w:eastAsia="zh-CN"/>
        </w:rPr>
      </w:pPr>
    </w:p>
    <w:p>
      <w:pPr>
        <w:jc w:val="center"/>
        <w:rPr>
          <w:rFonts w:hint="eastAsia"/>
          <w:lang w:val="en-US" w:eastAsia="zh-CN"/>
        </w:rPr>
      </w:pPr>
    </w:p>
    <w:p>
      <w:pPr>
        <w:rPr>
          <w:rFonts w:hint="default" w:ascii="STFangsong" w:hAnsi="STFangsong" w:eastAsia="STFangsong" w:cs="Times New Roman"/>
          <w:b w:val="0"/>
          <w:kern w:val="2"/>
          <w:sz w:val="28"/>
          <w:szCs w:val="22"/>
          <w:vertAlign w:val="baseline"/>
          <w:lang w:val="en-US" w:eastAsia="zh-CN"/>
        </w:rPr>
      </w:pPr>
    </w:p>
    <w:p>
      <w:pPr>
        <w:numPr>
          <w:ilvl w:val="0"/>
          <w:numId w:val="0"/>
        </w:numPr>
        <w:ind w:firstLine="420" w:firstLineChars="0"/>
        <w:jc w:val="both"/>
        <w:rPr>
          <w:rFonts w:hint="default" w:ascii="STFangsong" w:hAnsi="STFangsong" w:eastAsia="STFangsong"/>
          <w:sz w:val="28"/>
          <w:szCs w:val="22"/>
          <w:vertAlign w:val="baseline"/>
          <w:lang w:val="en-US" w:eastAsia="zh-CN"/>
        </w:rPr>
      </w:pPr>
    </w:p>
    <w:p>
      <w:pPr>
        <w:numPr>
          <w:ilvl w:val="0"/>
          <w:numId w:val="0"/>
        </w:numPr>
        <w:ind w:firstLine="420" w:firstLineChars="0"/>
        <w:jc w:val="both"/>
        <w:rPr>
          <w:rFonts w:hint="default" w:ascii="STFangsong" w:hAnsi="STFangsong" w:eastAsia="STFangsong"/>
          <w:sz w:val="28"/>
          <w:szCs w:val="22"/>
          <w:vertAlign w:val="baseline"/>
          <w:lang w:val="en-US" w:eastAsia="zh-CN"/>
        </w:rPr>
      </w:pPr>
    </w:p>
    <w:p>
      <w:pPr>
        <w:numPr>
          <w:ilvl w:val="0"/>
          <w:numId w:val="0"/>
        </w:numPr>
        <w:ind w:firstLine="420" w:firstLineChars="0"/>
        <w:jc w:val="both"/>
        <w:rPr>
          <w:rFonts w:hint="default" w:ascii="STFangsong" w:hAnsi="STFangsong" w:eastAsia="STFangsong"/>
          <w:sz w:val="28"/>
          <w:szCs w:val="22"/>
          <w:vertAlign w:val="baseline"/>
          <w:lang w:val="en-US" w:eastAsia="zh-CN"/>
        </w:rPr>
      </w:pPr>
    </w:p>
    <w:p>
      <w:pPr>
        <w:numPr>
          <w:ilvl w:val="0"/>
          <w:numId w:val="0"/>
        </w:numPr>
        <w:ind w:firstLine="420" w:firstLineChars="0"/>
        <w:jc w:val="both"/>
        <w:rPr>
          <w:rFonts w:hint="default" w:ascii="STFangsong" w:hAnsi="STFangsong" w:eastAsia="STFangsong"/>
          <w:sz w:val="28"/>
          <w:szCs w:val="22"/>
          <w:vertAlign w:val="baseline"/>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STFangsong">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79EA52"/>
    <w:multiLevelType w:val="singleLevel"/>
    <w:tmpl w:val="B079EA52"/>
    <w:lvl w:ilvl="0" w:tentative="0">
      <w:start w:val="1"/>
      <w:numFmt w:val="decimal"/>
      <w:suff w:val="space"/>
      <w:lvlText w:val="%1）"/>
      <w:lvlJc w:val="left"/>
    </w:lvl>
  </w:abstractNum>
  <w:abstractNum w:abstractNumId="1">
    <w:nsid w:val="F6B6D0BD"/>
    <w:multiLevelType w:val="singleLevel"/>
    <w:tmpl w:val="F6B6D0BD"/>
    <w:lvl w:ilvl="0" w:tentative="0">
      <w:start w:val="1"/>
      <w:numFmt w:val="decimal"/>
      <w:lvlText w:val="%1）"/>
      <w:lvlJc w:val="left"/>
    </w:lvl>
  </w:abstractNum>
  <w:abstractNum w:abstractNumId="2">
    <w:nsid w:val="1E579A3E"/>
    <w:multiLevelType w:val="singleLevel"/>
    <w:tmpl w:val="1E579A3E"/>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D3CF6"/>
    <w:rsid w:val="07442EF0"/>
    <w:rsid w:val="0B2E1F0F"/>
    <w:rsid w:val="132D23F6"/>
    <w:rsid w:val="14F109E3"/>
    <w:rsid w:val="18303BBF"/>
    <w:rsid w:val="1B174F5A"/>
    <w:rsid w:val="23DF5570"/>
    <w:rsid w:val="280D7092"/>
    <w:rsid w:val="2D7811A0"/>
    <w:rsid w:val="358F1D55"/>
    <w:rsid w:val="35A323BB"/>
    <w:rsid w:val="36766549"/>
    <w:rsid w:val="387574AC"/>
    <w:rsid w:val="3F9C1D3C"/>
    <w:rsid w:val="45CF796F"/>
    <w:rsid w:val="462E1130"/>
    <w:rsid w:val="4FCD4C41"/>
    <w:rsid w:val="574F2A3A"/>
    <w:rsid w:val="63E63476"/>
    <w:rsid w:val="66DC0E51"/>
    <w:rsid w:val="67380DEF"/>
    <w:rsid w:val="6E15308C"/>
    <w:rsid w:val="6F2076A8"/>
    <w:rsid w:val="70913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0" w:name="heading 2"/>
    <w:lsdException w:qFormat="1" w:uiPriority="9" w:semiHidden="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hint="eastAsia" w:ascii="等线" w:hAnsi="等线" w:eastAsia="等线" w:cs="Times New Roman"/>
      <w:kern w:val="2"/>
      <w:sz w:val="21"/>
      <w:lang w:val="en-US" w:eastAsia="zh-CN"/>
    </w:rPr>
  </w:style>
  <w:style w:type="paragraph" w:styleId="2">
    <w:name w:val="heading 1"/>
    <w:basedOn w:val="1"/>
    <w:next w:val="1"/>
    <w:unhideWhenUsed/>
    <w:qFormat/>
    <w:uiPriority w:val="9"/>
    <w:pPr>
      <w:keepNext/>
      <w:keepLines/>
      <w:spacing w:before="340" w:after="330" w:line="578" w:lineRule="auto"/>
      <w:outlineLvl w:val="0"/>
    </w:pPr>
    <w:rPr>
      <w:rFonts w:hint="eastAsia"/>
      <w:b/>
      <w:kern w:val="44"/>
      <w:sz w:val="44"/>
    </w:rPr>
  </w:style>
  <w:style w:type="paragraph" w:styleId="3">
    <w:name w:val="heading 3"/>
    <w:basedOn w:val="1"/>
    <w:next w:val="1"/>
    <w:unhideWhenUsed/>
    <w:qFormat/>
    <w:uiPriority w:val="9"/>
    <w:pPr>
      <w:keepNext/>
      <w:keepLines/>
      <w:spacing w:before="260" w:after="260" w:line="416" w:lineRule="auto"/>
      <w:outlineLvl w:val="2"/>
    </w:pPr>
    <w:rPr>
      <w:rFonts w:hint="eastAsia"/>
      <w:b/>
      <w:sz w:val="32"/>
    </w:rPr>
  </w:style>
  <w:style w:type="paragraph" w:styleId="4">
    <w:name w:val="heading 5"/>
    <w:basedOn w:val="1"/>
    <w:next w:val="1"/>
    <w:link w:val="10"/>
    <w:unhideWhenUsed/>
    <w:qFormat/>
    <w:uiPriority w:val="9"/>
    <w:pPr>
      <w:keepNext/>
      <w:keepLines/>
      <w:spacing w:before="280" w:after="290" w:line="376" w:lineRule="auto"/>
      <w:outlineLvl w:val="4"/>
    </w:pPr>
    <w:rPr>
      <w:rFonts w:hint="eastAsia"/>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qFormat/>
    <w:uiPriority w:val="0"/>
    <w:rPr>
      <w:color w:val="0000FF"/>
      <w:u w:val="single"/>
    </w:rPr>
  </w:style>
  <w:style w:type="table" w:customStyle="1" w:styleId="9">
    <w:name w:val="表头及边框粗，内线细"/>
    <w:basedOn w:val="5"/>
    <w:qFormat/>
    <w:uiPriority w:val="99"/>
    <w:tblPr>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
    <w:tblStylePr w:type="firstRow">
      <w:tcPr>
        <w:tcBorders>
          <w:top w:val="single" w:color="auto" w:sz="14" w:space="0"/>
          <w:left w:val="single" w:color="auto" w:sz="14" w:space="0"/>
          <w:bottom w:val="single" w:color="auto" w:sz="14" w:space="0"/>
          <w:right w:val="single" w:color="auto" w:sz="14" w:space="0"/>
          <w:insideH w:val="single" w:sz="6" w:space="0"/>
          <w:insideV w:val="single" w:sz="6" w:space="0"/>
          <w:tl2br w:val="nil"/>
          <w:tr2bl w:val="nil"/>
        </w:tcBorders>
      </w:tcPr>
    </w:tblStylePr>
  </w:style>
  <w:style w:type="character" w:customStyle="1" w:styleId="10">
    <w:name w:val="标题 5 Char"/>
    <w:link w:val="4"/>
    <w:qFormat/>
    <w:uiPriority w:val="9"/>
    <w:rPr>
      <w:rFonts w:hint="eastAsia"/>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oleObject" Target="embeddings/oleObject5.bin"/><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yuhongd</dc:creator>
  <cp:lastModifiedBy>董瑜宏</cp:lastModifiedBy>
  <dcterms:modified xsi:type="dcterms:W3CDTF">2019-03-07T13:26:22Z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