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模拟结果的误差为</w:t>
      </w:r>
      <w:r>
        <w:rPr>
          <w:rFonts w:hint="eastAsia" w:ascii="STFangsong" w:hAnsi="STFangsong" w:eastAsia="STFangsong"/>
          <w:color w:val="FF0000"/>
          <w:sz w:val="28"/>
          <w:szCs w:val="22"/>
          <w:vertAlign w:val="baseline"/>
          <w:lang w:val="en-US" w:eastAsia="zh-CN"/>
        </w:rPr>
        <w:t>100%</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表：</w:t>
      </w:r>
    </w:p>
    <w:p>
      <w:pPr>
        <w:numPr>
          <w:ilvl w:val="0"/>
          <w:numId w:val="0"/>
        </w:numPr>
        <w:jc w:val="both"/>
        <w:rPr>
          <w:rFonts w:hint="default"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前三阶振型图：</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带桁架模型模拟计算结果的剪力以及剪重比</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由于前面对结构进行了小震下的数值模拟，因此在此节，我们只做结构在中震（设防烈度）下的时程分析。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本文从太平洋地震工程研究中心地震数据库中选取三条地震波如下表所示：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05/02/1983</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PARKFIELD - FAULT ZONE 12, 090 (CDMG STATION 36138)</w:t>
            </w:r>
          </w:p>
        </w:tc>
      </w:tr>
    </w:tbl>
    <w:p>
      <w:pPr>
        <w:numPr>
          <w:ilvl w:val="0"/>
          <w:numId w:val="0"/>
        </w:numPr>
        <w:jc w:val="center"/>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三条地震波的主方向波形图分别如下图4-8，图 4-9，图4-9所示</w:t>
      </w:r>
    </w:p>
    <w:p>
      <w:pPr>
        <w:numPr>
          <w:ilvl w:val="0"/>
          <w:numId w:val="0"/>
        </w:numPr>
        <w:jc w:val="both"/>
        <w:rPr>
          <w:rFonts w:hint="eastAsia" w:ascii="STFangsong" w:hAnsi="STFangsong" w:eastAsia="STFangsong"/>
          <w:sz w:val="28"/>
          <w:szCs w:val="22"/>
          <w:vertAlign w:val="baseline"/>
          <w:lang w:val="en-US" w:eastAsia="zh-CN"/>
        </w:rPr>
      </w:pPr>
    </w:p>
    <w:p>
      <w:pPr>
        <w:pStyle w:val="4"/>
        <w:bidi w:val="0"/>
        <w:rPr>
          <w:rFonts w:hint="eastAsia"/>
          <w:lang w:val="en-US" w:eastAsia="zh-CN"/>
        </w:rPr>
      </w:pPr>
      <w:r>
        <w:rPr>
          <w:rFonts w:hint="eastAsia"/>
          <w:lang w:val="en-US" w:eastAsia="zh-CN"/>
        </w:rPr>
        <w:t>4.3.2 设防地震弹性时程分析结果</w:t>
      </w:r>
      <w:bookmarkStart w:id="0" w:name="_GoBack"/>
      <w:bookmarkEnd w:id="0"/>
    </w:p>
    <w:p>
      <w:pPr>
        <w:rPr>
          <w:rFonts w:hint="default"/>
          <w:lang w:val="en-US" w:eastAsia="zh-CN"/>
        </w:rPr>
      </w:pPr>
    </w:p>
    <w:p>
      <w:pPr>
        <w:pStyle w:val="4"/>
        <w:bidi w:val="0"/>
        <w:rPr>
          <w:rFonts w:hint="default"/>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9EA52"/>
    <w:multiLevelType w:val="singleLevel"/>
    <w:tmpl w:val="B079EA52"/>
    <w:lvl w:ilvl="0" w:tentative="0">
      <w:start w:val="1"/>
      <w:numFmt w:val="decimal"/>
      <w:suff w:val="space"/>
      <w:lvlText w:val="%1）"/>
      <w:lvlJc w:val="left"/>
    </w:lvl>
  </w:abstractNum>
  <w:abstractNum w:abstractNumId="1">
    <w:nsid w:val="F6B6D0BD"/>
    <w:multiLevelType w:val="singleLevel"/>
    <w:tmpl w:val="F6B6D0BD"/>
    <w:lvl w:ilvl="0" w:tentative="0">
      <w:start w:val="1"/>
      <w:numFmt w:val="decimal"/>
      <w:lvlText w:val="%1）"/>
      <w:lvlJc w:val="left"/>
    </w:lvl>
  </w:abstractNum>
  <w:abstractNum w:abstractNumId="2">
    <w:nsid w:val="1E579A3E"/>
    <w:multiLevelType w:val="singleLevel"/>
    <w:tmpl w:val="1E579A3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B2E1F0F"/>
    <w:rsid w:val="132D23F6"/>
    <w:rsid w:val="14F109E3"/>
    <w:rsid w:val="18303BBF"/>
    <w:rsid w:val="1B174F5A"/>
    <w:rsid w:val="23DF5570"/>
    <w:rsid w:val="280D7092"/>
    <w:rsid w:val="2D7811A0"/>
    <w:rsid w:val="358F1D55"/>
    <w:rsid w:val="35A323BB"/>
    <w:rsid w:val="36766549"/>
    <w:rsid w:val="387574AC"/>
    <w:rsid w:val="3F9C1D3C"/>
    <w:rsid w:val="45CF796F"/>
    <w:rsid w:val="462E1130"/>
    <w:rsid w:val="4FCD4C41"/>
    <w:rsid w:val="574F2A3A"/>
    <w:rsid w:val="63E63476"/>
    <w:rsid w:val="66DC0E51"/>
    <w:rsid w:val="67380DEF"/>
    <w:rsid w:val="6E15308C"/>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2019-03-07T04:08:46Z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