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JhengHei" w:hAnsi="Microsoft JhengHei" w:eastAsia="Microsoft JhengHei"/>
          <w:b/>
          <w:sz w:val="36"/>
        </w:rPr>
        <w:t>廠房現場必問清單</w:t>
      </w:r>
    </w:p>
    <w:p>
      <w:r>
        <w:rPr>
          <w:rFonts w:ascii="Microsoft JhengHei" w:hAnsi="Microsoft JhengHei" w:eastAsia="Microsoft JhengHei"/>
          <w:b w:val="0"/>
          <w:sz w:val="21"/>
        </w:rPr>
        <w:t>現場填寫版，保留給業務直接詢問與拍攝。</w:t>
      </w:r>
    </w:p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一、共通欄位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委託總價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車位停車方式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車位號碼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物件地址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陽台座向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大樓座向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銷售樓別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用途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現況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租金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管理方式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管理費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每層幾戶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電梯數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建設公司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社區大樓名稱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最近的學校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最近的公園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最近的市場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商圈名稱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</w:tbl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二、車位方式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坡道平面：________________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坡道機械：________________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升降機械：________________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一樓平面：________________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車位號碼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物件地址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</w:tbl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三、類型欄位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三相電：________________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電壓：________________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電力容量：________________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挑高：________________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樑下高度：________________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天車：________________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貨車可否進出：________________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聯結車可否進出：________________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臨路幾米：________________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門寬：________________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門高：________________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是否有回車道：________________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是否有回車區：________________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卸貨平台：________________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碼頭：________________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回車空間：________________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地坪承重：________________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是否有消防設備：________________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排煙：________________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排水：________________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排污：________________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使用分區：________________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合法用途：________________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甲 / 乙 / 丙種工業地：________________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是否可分租：________________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是否可立即使用：________________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若不可立即使用，最短多久可用：________________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是否有雜物機具：________________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是否有噪音：________________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是否有環評限制：________________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是否有鄰損限制：________________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/>
        </w:tc>
      </w:tr>
    </w:tbl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四、優點與缺點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優點1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優點2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優點3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缺點1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缺點2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缺點3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</w:tbl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五、照片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正門外觀圖：________________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左側外觀圖：________________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右側外觀圖：________________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背面外觀圖：________________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客廳圖（四角往中心）：________________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房間圖（四角往中心）：________________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廚房圖：________________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陽台圖：________________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公設圖：________________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臨路圖（四角往中心）：________________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社區出入口圖：________________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/>
        </w:tc>
      </w:tr>
    </w:tbl>
    <w:sectPr w:rsidR="00FC693F" w:rsidRPr="0006063C" w:rsidSect="00034616">
      <w:pgSz w:w="12240" w:h="15840"/>
      <w:pgMar w:top="567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