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Healthcare Market Intelligence Platform</w:t>
      </w:r>
    </w:p>
    <w:p>
      <w:pPr>
        <w:spacing w:after="120"/>
      </w:pPr>
      <w:r>
        <w:rPr>
          <w:b/>
          <w:bCs/>
          <w:color w:val="2E5395"/>
          <w:sz w:val="28"/>
          <w:szCs w:val="28"/>
        </w:rPr>
        <w:t xml:space="preserve">Implementation Plan &amp; To-Do List</w:t>
      </w:r>
    </w:p>
    <w:p>
      <w:pPr>
        <w:spacing w:after="120"/>
      </w:pPr>
      <w:r>
        <w:rPr>
          <w:color w:val="808080"/>
          <w:sz w:val="20"/>
          <w:szCs w:val="20"/>
        </w:rPr>
        <w:t xml:space="preserve">Prepared for: Fernando  |  Date: June 10, 2026  |  Basis: Market Intel Platform proposal (06/05)</w:t>
      </w:r>
    </w:p>
    <w:p>
      <w:pPr>
        <w:pBdr>
          <w:bottom w:val="single" w:color="1F3864" w:sz="6" w:space="1"/>
        </w:pBdr>
      </w:pPr>
    </w:p>
    <w:p>
      <w:pPr>
        <w:pStyle w:val="Heading1"/>
      </w:pPr>
      <w:r>
        <w:t xml:space="preserve">1. Objective</w:t>
      </w:r>
    </w:p>
    <w:p>
      <w:pPr>
        <w:spacing w:after="120"/>
      </w:pPr>
      <w:r>
        <w:t xml:space="preserve">Build and operate an AI-driven market intelligence pipeline that monitors six intelligence areas — National Healthcare Policy &amp; Industry, South Florida Competitive Intel, Payer &amp; Insurance, Innovation &amp; AI, Public Health &amp; Geopolitical Risk, and Reputation &amp; Media — and delivers a prioritized, executive-ready briefing by email every morning. The build follows the proposal's recommended stack: RSS ingestion (free) + Yutori for scraping and NLP enrichment of non-RSS sources (~$150/month), an LLM-based relevance and synthesis layer, and the deck's composite scoring model. Claude executes the build and runs the daily pipeline as a scheduled task.</w:t>
      </w:r>
    </w:p>
    <w:p>
      <w:pPr>
        <w:pStyle w:val="Heading1"/>
      </w:pPr>
      <w:r>
        <w:t xml:space="preserve">2. How the System Will Run</w:t>
      </w:r>
    </w:p>
    <w:p>
      <w:pPr>
        <w:spacing w:after="120"/>
      </w:pPr>
      <w:r>
        <w:t xml:space="preserve">Each morning a scheduled task triggers the following pipeline:</w:t>
      </w:r>
    </w:p>
    <w:p>
      <w:pPr>
        <w:pStyle w:val="ListParagraph"/>
        <w:numPr>
          <w:ilvl w:val="0"/>
          <w:numId w:val="2"/>
        </w:numPr>
        <w:spacing w:after="60"/>
      </w:pPr>
      <w:r>
        <w:rPr>
          <w:b/>
          <w:bCs/>
        </w:rPr>
        <w:t xml:space="preserve">Ingest: </w:t>
      </w:r>
      <w:r>
        <w:t xml:space="preserve">A Python script pulls all RSS-enabled sources (titles, summaries, timestamps, URLs). Yutori scrapes non-RSS sources — competitor sites, South Florida Business Journal, Miami Herald Health — and returns enriched content (entities, topics, sentiment, summaries).</w:t>
      </w:r>
    </w:p>
    <w:p>
      <w:pPr>
        <w:pStyle w:val="ListParagraph"/>
        <w:numPr>
          <w:ilvl w:val="0"/>
          <w:numId w:val="2"/>
        </w:numPr>
        <w:spacing w:after="60"/>
      </w:pPr>
      <w:r>
        <w:rPr>
          <w:b/>
          <w:bCs/>
        </w:rPr>
        <w:t xml:space="preserve">Organize: </w:t>
      </w:r>
      <w:r>
        <w:t xml:space="preserve">Every item is tagged by intelligence area and source, deduplicated by URL/content hash, and stored in the connected project folder so history persists between runs.</w:t>
      </w:r>
    </w:p>
    <w:p>
      <w:pPr>
        <w:pStyle w:val="ListParagraph"/>
        <w:numPr>
          <w:ilvl w:val="0"/>
          <w:numId w:val="2"/>
        </w:numPr>
        <w:spacing w:after="60"/>
      </w:pPr>
      <w:r>
        <w:rPr>
          <w:b/>
          <w:bCs/>
        </w:rPr>
        <w:t xml:space="preserve">Prioritize: </w:t>
      </w:r>
      <w:r>
        <w:t xml:space="preserve">Composite score per the deck: source credibility weight × category weight (SF Competitive 10, Policy 9, Payer 7, Innovation 5, Public Health 4, Reputation 3) × LLM relevance against each area's key question. South Florida competitive stories receive sub-weighting: capital investment (10), capacity expansion (9), geographic proximity (8), service line impact (7). Items below threshold are filtered as noise.</w:t>
      </w:r>
    </w:p>
    <w:p>
      <w:pPr>
        <w:pStyle w:val="ListParagraph"/>
        <w:numPr>
          <w:ilvl w:val="0"/>
          <w:numId w:val="2"/>
        </w:numPr>
        <w:spacing w:after="60"/>
      </w:pPr>
      <w:r>
        <w:rPr>
          <w:b/>
          <w:bCs/>
        </w:rPr>
        <w:t xml:space="preserve">Deliver: </w:t>
      </w:r>
      <w:r>
        <w:t xml:space="preserve">Top-ranked items are synthesized into the proposal's executive summary format — top-line takeaways (3–5), key-question answers per area, story-specific insights (what happened / why it matters / institutional exposure), developments to watch, and recommended actions — formatted as a clean email and sent to the executive distribution list.</w:t>
      </w:r>
    </w:p>
    <w:p>
      <w:pPr>
        <w:spacing w:after="120"/>
      </w:pPr>
      <w:r>
        <w:rPr>
          <w:i/>
          <w:iCs/>
          <w:sz w:val="20"/>
          <w:szCs w:val="20"/>
        </w:rPr>
        <w:t xml:space="preserve">MVP simplification: the vector database in the proposal is deferred to a post-MVP upgrade. For the MVP, a structured local store plus LLM scoring achieves the same retrieval outcome with less complexity; semantic/vector retrieval is added in Phase 4 if volume requires it.</w:t>
      </w:r>
    </w:p>
    <w:p>
      <w:pPr>
        <w:pStyle w:val="Heading1"/>
      </w:pPr>
      <w:r>
        <w:t xml:space="preserve">3. To-Do List</w:t>
      </w:r>
    </w:p>
    <w:p>
      <w:pPr>
        <w:pStyle w:val="Heading2"/>
      </w:pPr>
      <w:r>
        <w:t xml:space="preserve">Phase 0 — Access &amp; Setup (blockers; needed from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760"/>
        <w:gridCol w:w="12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Task</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Connect a project folder</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Connect a folder in Cowork so source configs, article archives, and pipeline state persist between daily runs. Without this, no history or dedup memory survives.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Fernando</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0.2</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Procure Yutori API key</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Purchase plan (~$150/mo per proposal), confirm credit limits, and share the API key securely.</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Fernando</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0.3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Confirm delivery settings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Recipient list, send time (e.g., 7:00 AM ET), weekdays vs. 7 days, and whether briefings send automatically or arrive as Gmail drafts for review during calibration.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Fernando</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0.4</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Approve competitor watchlist</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I will propose a South Florida competitor list (e.g., Baptist Health, Jackson Health, Cleveland Clinic Florida, Memorial Healthcare, Mount Sinai Miami Beach, HCA Florida, Nicklaus Children's) for your approval/edits.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Both</w:t>
            </w:r>
          </w:p>
        </w:tc>
      </w:tr>
    </w:tbl>
    <w:p>
      <w:pPr>
        <w:pStyle w:val="Heading2"/>
      </w:pPr>
      <w:r>
        <w:t xml:space="preserve">Phase 1 — Foundation &amp;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760"/>
        <w:gridCol w:w="12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Task</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Build source inventory</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Verify RSS availability for every source in the proposal (CMS, HHS, FDA, Modern Healthcare, Healthcare Dive, Becker's, KFF, Fierce Healthcare, AHIP, STAT, Rock Health, HIMSS, Healthcare IT News, CDC, FL DOH, WHO, NOAA, Miami Herald, Sun Sentinel, SFBJ). Classify each as RSS vs. Yutori-scrape.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1.2</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Write RSS ingestion script</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Python script pulling all RSS feeds on schedule; capture title, summary, timestamp, URL; dedupe by URL/hash.</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Integrate Yutori</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Configure scraping of non-RSS sources (competitor sites, business journals) and capture NLP enrichment output. Apply keyword pre-filter so only candidate items are enriched (cost control).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1.4</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Define storage &amp; tagging</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Schema for articles + metadata; auto-tag by intelligence area and source; persist to project folder.</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Coverage test</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Run ingestion for 2–3 days; verify all six areas produce content; log and fix gaps.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bl>
    <w:p>
      <w:pPr>
        <w:pStyle w:val="Heading2"/>
      </w:pPr>
      <w:r>
        <w:t xml:space="preserve">Phase 2 — Prioritization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760"/>
        <w:gridCol w:w="12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Task</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Encode source weights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Credibility/strategic-importance weight per source, per intelligence area.</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2.2</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Encode category weights</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Apply the deck's 10/9/7/5/4/3 priority weights.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LLM relevance scoring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Score each item against its area's key question, including monetary/client implications.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2.4</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SF competitive sub-scoring</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Capital investment (10), capacity expansion (9), geography (8), service line (7).</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2.5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Composite score &amp; thresholds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Combine into single score; set cutoffs; noise filtration.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2.6</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Calibrate with you</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Run on live data for several days; share ranked sample output; tune weights and thresholds against your feedback before go-live.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Both</w:t>
            </w:r>
          </w:p>
        </w:tc>
      </w:tr>
    </w:tbl>
    <w:p>
      <w:pPr>
        <w:pStyle w:val="Heading2"/>
      </w:pPr>
      <w:r>
        <w:t xml:space="preserve">Phase 3 — Output &amp;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760"/>
        <w:gridCol w:w="12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Task</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Executive summary template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Implement the proposal's format: top-line takeaways, key-question answers, story insights, watch items, recommended actions.</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3.2</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LLM synthesis</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Generate the briefing content from top-ranked items; consolidate related stories into single narratives.</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Email formatting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Clean, scannable email (exec-readable on mobile).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3.4</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Schedule daily run</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Create the scheduled task for the agreed send time.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3.5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Dry run</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Deliver to you only for ~5 business days; incorporate feedback.</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Both</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3.6</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Go live</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Switch delivery to the executive distribution list.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Fernando</w:t>
            </w:r>
          </w:p>
        </w:tc>
      </w:tr>
    </w:tbl>
    <w:p>
      <w:pPr>
        <w:pStyle w:val="Heading2"/>
      </w:pPr>
      <w:r>
        <w:t xml:space="preserve">Phase 4 — Beyond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760"/>
        <w:gridCol w:w="12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t>
            </w:r>
          </w:p>
        </w:tc>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Task</w:t>
            </w:r>
          </w:p>
        </w:tc>
        <w:tc>
          <w:tcPr>
            <w:tcW w:type="dxa" w:w="4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c>
          <w:tcPr>
            <w:tcW w:type="dxa" w:w="1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Owner</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Deduplication &amp; clustering</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Group multiple versions of the same story into one insight.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4.2</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Cross-source validation</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Boost priority when independent sources report the same development.</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4.3</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Secondary deep-dives</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High-priority findings trigger an additional context pull.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4.4</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Feedback loop</w:t>
            </w:r>
          </w:p>
        </w:tc>
        <w:tc>
          <w:tcPr>
            <w:tcW w:type="dxa" w:w="4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Executive feedback re-weights scoring over time.</w:t>
            </w:r>
          </w:p>
        </w:tc>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Both</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4.5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Vector/semantic retrieval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Add embeddings store if volume or recall requires it.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Claude</w:t>
            </w:r>
          </w:p>
        </w:tc>
      </w:tr>
    </w:tbl>
    <w:p>
      <w:r>
        <w:br w:type="page"/>
      </w:r>
    </w:p>
    <w:p>
      <w:pPr>
        <w:pStyle w:val="Heading1"/>
      </w:pPr>
      <w:r>
        <w:t xml:space="preserve">4.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Decision</w:t>
            </w:r>
          </w:p>
        </w:tc>
        <w:tc>
          <w:tcPr>
            <w:tcW w:type="dxa" w:w="6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Options / Default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Send mode at launch</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Auto-send vs. Gmail draft for review. Default: drafts during calibration, auto-send after go-live.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Send time &amp; days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Default: 7:00 AM ET, weekdays only.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Competitor watchlist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Approve/edit proposed list (task 0.4).</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Yutori budget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Confirm ~$150/mo approval and credit ceiling.</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Recipient list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Executive distribution list for go-live.</w:t>
            </w:r>
          </w:p>
        </w:tc>
      </w:tr>
    </w:tbl>
    <w:p>
      <w:pPr>
        <w:pStyle w:val="Heading1"/>
      </w:pPr>
      <w:r>
        <w:t xml:space="preserve">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Risk</w:t>
            </w:r>
          </w:p>
        </w:tc>
        <w:tc>
          <w:tcPr>
            <w:tcW w:type="dxa" w:w="58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Mitigation</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Coverage gaps (missed major story)</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Verify every source in Phase 1; log failed pulls each run and flag them in the briefing footer; periodic coverage audit.</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Prioritization accuracy</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Calibration period (2.6, 3.5) with your feedback before execs see anything; weights tunable without code changes.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Duplicate stories elevated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URL/hash dedup at MVP; clustering in Phase 4.</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Yutori cost spikes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Keyword pre-filter before enrichment; selective scraping; monitor credit usage in each run's log.</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0"/>
                <w:szCs w:val="20"/>
              </w:rPr>
              <w:t xml:space="preserve">Scraper blind spots (blocked sites, layout changes)</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Per-source health checks; alerts when a source returns nothing for 2+ days.</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20"/>
                <w:szCs w:val="20"/>
              </w:rPr>
              <w:t xml:space="preserve">Pipeline state loss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sz w:val="20"/>
                <w:szCs w:val="20"/>
              </w:rPr>
              <w:t xml:space="preserve">All state persisted to the connected project folder (task 0.1), not the temporary sandbox.</w:t>
            </w:r>
          </w:p>
        </w:tc>
      </w:tr>
    </w:tbl>
    <w:p>
      <w:pPr>
        <w:pStyle w:val="Heading1"/>
      </w:pPr>
      <w:r>
        <w:t xml:space="preserve">6. Success Criteria</w:t>
      </w:r>
    </w:p>
    <w:p>
      <w:pPr>
        <w:pStyle w:val="ListParagraph"/>
        <w:numPr>
          <w:ilvl w:val="0"/>
          <w:numId w:val="2"/>
        </w:numPr>
        <w:spacing w:after="60"/>
      </w:pPr>
      <w:r>
        <w:t xml:space="preserve">Briefing delivered on schedule ≥95% of days.</w:t>
      </w:r>
    </w:p>
    <w:p>
      <w:pPr>
        <w:pStyle w:val="ListParagraph"/>
        <w:numPr>
          <w:ilvl w:val="0"/>
          <w:numId w:val="2"/>
        </w:numPr>
        <w:spacing w:after="60"/>
      </w:pPr>
      <w:r>
        <w:t xml:space="preserve">All six intelligence areas covered by working ingestion, with per-source health visible.</w:t>
      </w:r>
    </w:p>
    <w:p>
      <w:pPr>
        <w:pStyle w:val="ListParagraph"/>
        <w:numPr>
          <w:ilvl w:val="0"/>
          <w:numId w:val="2"/>
        </w:numPr>
        <w:spacing w:after="60"/>
      </w:pPr>
      <w:r>
        <w:t xml:space="preserve">During calibration, you rate the top 3–5 stories as genuinely the most relevant of the day.</w:t>
      </w:r>
    </w:p>
    <w:p>
      <w:pPr>
        <w:pStyle w:val="ListParagraph"/>
        <w:numPr>
          <w:ilvl w:val="0"/>
          <w:numId w:val="2"/>
        </w:numPr>
        <w:spacing w:after="60"/>
      </w:pPr>
      <w:r>
        <w:t xml:space="preserve">No duplicate top stories within a single briefing.</w:t>
      </w:r>
    </w:p>
    <w:p>
      <w:pPr>
        <w:pStyle w:val="ListParagraph"/>
        <w:numPr>
          <w:ilvl w:val="0"/>
          <w:numId w:val="2"/>
        </w:numPr>
        <w:spacing w:after="60"/>
      </w:pPr>
      <w:r>
        <w:t xml:space="preserve">Monthly tooling cost at or under ~$150 (Yutori) as proposed.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Healthcare Market Intelligence Platform</w:t>
    </w:r>
    <w:r>
      <w:rPr>
        <w:color w:val="808080"/>
        <w:sz w:val="16"/>
        <w:szCs w:val="16"/>
      </w:rPr>
      <w:t xml:space="preserve">	Highly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395"/>
      <w:sz w:val="24"/>
      <w:szCs w:val="24"/>
    </w:rPr>
  </w:style>
  <w:style w:type="paragraph" w:styleId="Title">
    <w:name w:val="Title"/>
    <w:basedOn w:val="Normal"/>
    <w:next w:val="Normal"/>
    <w:pPr>
      <w:spacing w:after="120"/>
    </w:pPr>
    <w:rPr>
      <w:rFonts w:ascii="Arial" w:cs="Arial" w:eastAsia="Arial" w:hAnsi="Arial"/>
      <w:b/>
      <w:bCs/>
      <w:color w:val="1F3864"/>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2026-06-10T20:26:38.061Z</dcterms:created>
  <dcterms:modified xsi:type="dcterms:W3CDTF">2026-06-10T20:26:38.061Z</dcterms:modified>
</cp:coreProperties>
</file>

<file path=docProps/custom.xml><?xml version="1.0" encoding="utf-8"?>
<Properties xmlns="http://schemas.openxmlformats.org/officeDocument/2006/custom-properties" xmlns:vt="http://schemas.openxmlformats.org/officeDocument/2006/docPropsVTypes"/>
</file>