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eastAsia="Arial"/>
          <w:b/>
          <w:color w:val="000000"/>
          <w:sz w:val="46"/>
        </w:rPr>
        <w:t>ФУНКЦИОНАЛЬНЫЙ КОНТРАКТ</w:t>
      </w:r>
    </w:p>
    <w:p>
      <w:pPr>
        <w:spacing w:after="320"/>
      </w:pPr>
      <w:r>
        <w:rPr>
          <w:rFonts w:ascii="Arial" w:hAnsi="Arial" w:eastAsia="Arial"/>
          <w:color w:val="373737"/>
          <w:sz w:val="28"/>
        </w:rPr>
        <w:t>Единый движок ОПИУ: сверка R005 + корректировки R001</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400"/>
        <w:gridCol w:w="6960"/>
      </w:tblGrid>
      <w:tr>
        <w:trPr>
          <w:tblHeader w:val="true"/>
          <w:cantSplit/>
        </w:trPr>
        <w:tc>
          <w:tcPr>
            <w:tcW w:type="dxa" w:w="24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Поле</w:t>
            </w:r>
          </w:p>
        </w:tc>
        <w:tc>
          <w:tcPr>
            <w:tcW w:type="dxa" w:w="6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Значение</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Статус</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Зафиксированная рабочая редакция для разработки; лист утверждения не заполнен</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Версия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0.4 от 27.08.2026</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Назначение</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Зафиксировать требования до продолжения доработки и исключить повторные откаты</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Не является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юридическим договором; это функциональный контракт и критерии приёмки продукта</w:t>
            </w:r>
          </w:p>
        </w:tc>
      </w:tr>
    </w:tbl>
    <w:p/>
    <w:tbl>
      <w:tblPr>
        <w:tblW w:type="dxa" w:w="9360"/>
        <w:jc w:val="left"/>
        <w:tblLayout w:type="fixed"/>
        <w:tblLook w:firstColumn="1" w:firstRow="1" w:lastColumn="0" w:lastRow="0" w:noHBand="0" w:noVBand="1" w:val="04A0"/>
        <w:tblInd w:w="120" w:type="dxa"/>
        <w:tblBorders>
          <w:top w:val="single" w:sz="8" w:space="0" w:color="375623"/>
          <w:left w:val="single" w:sz="8" w:space="0" w:color="375623"/>
          <w:bottom w:val="single" w:sz="8" w:space="0" w:color="375623"/>
          <w:right w:val="single" w:sz="8" w:space="0" w:color="375623"/>
          <w:insideH w:val="single" w:sz="8" w:space="0" w:color="375623"/>
          <w:insideV w:val="single" w:sz="8" w:space="0" w:color="375623"/>
        </w:tblBorders>
      </w:tblPr>
      <w:tblGrid>
        <w:gridCol w:w="9360"/>
      </w:tblGrid>
      <w:tr>
        <w:tc>
          <w:tcPr>
            <w:tcW w:type="dxa" w:w="9360"/>
            <w:tcMar>
              <w:top w:w="80" w:type="dxa"/>
              <w:start w:w="120" w:type="dxa"/>
              <w:bottom w:w="80" w:type="dxa"/>
              <w:end w:w="120" w:type="dxa"/>
            </w:tcMar>
            <w:vAlign w:val="top"/>
            <w:shd w:fill="E2F0D9"/>
          </w:tcPr>
          <w:p>
            <w:pPr>
              <w:spacing w:after="0"/>
            </w:pPr>
            <w:r>
              <w:rPr>
                <w:rFonts w:ascii="Calibri" w:hAnsi="Calibri" w:eastAsia="Calibri"/>
                <w:b/>
                <w:color w:val="375623"/>
                <w:sz w:val="22"/>
              </w:rPr>
              <w:t xml:space="preserve">Главный результат. </w:t>
            </w:r>
            <w:r>
              <w:rPr>
                <w:rFonts w:ascii="Calibri" w:hAnsi="Calibri" w:eastAsia="Calibri"/>
                <w:color w:val="1F1F1F"/>
                <w:sz w:val="22"/>
              </w:rPr>
              <w:t>После обработки ERP должен показывать тот же экономический ОПИУ, что и Инталев, но в утверждённой структуре ERP. Все реальные детали сохраняются; расхождения объясняются до физических строк журналов; доказанные ошибки статьи оформляются СТОРНО/РЕПОСТ.</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c>
          <w:tcPr>
            <w:tcW w:type="dxa" w:w="9360"/>
            <w:tcMar>
              <w:top w:w="80" w:type="dxa"/>
              <w:start w:w="120" w:type="dxa"/>
              <w:bottom w:w="80" w:type="dxa"/>
              <w:end w:w="120" w:type="dxa"/>
            </w:tcMar>
            <w:vAlign w:val="top"/>
            <w:shd w:fill="FCE4D6"/>
          </w:tcPr>
          <w:p>
            <w:pPr>
              <w:spacing w:after="0"/>
            </w:pPr>
            <w:r>
              <w:rPr>
                <w:rFonts w:ascii="Calibri" w:hAnsi="Calibri" w:eastAsia="Calibri"/>
                <w:b/>
                <w:color w:val="9B1C1C"/>
                <w:sz w:val="22"/>
              </w:rPr>
              <w:t xml:space="preserve">Неприкосновенное требование. </w:t>
            </w:r>
            <w:r>
              <w:rPr>
                <w:rFonts w:ascii="Calibri" w:hAnsi="Calibri" w:eastAsia="Calibri"/>
                <w:color w:val="1F1F1F"/>
                <w:sz w:val="22"/>
              </w:rPr>
              <w:t>Коммерческие, административные, транспортные, складские и любые другие фактические блоки расходов из архива Инталев не могут исчезать после подключения журналов, правил, корректировок или новой версии интерфейса.</w:t>
            </w:r>
          </w:p>
        </w:tc>
      </w:tr>
    </w:tbl>
    <w:p>
      <w:pPr>
        <w:spacing w:after="0"/>
      </w:pPr>
    </w:p>
    <w:p>
      <w:pPr>
        <w:pStyle w:val="Heading1"/>
        <w:keepNext/>
      </w:pPr>
      <w:r>
        <w:t>Что пользователь утверждает этим документом</w:t>
      </w:r>
    </w:p>
    <w:p>
      <w:pPr>
        <w:pStyle w:val="ContractList"/>
      </w:pPr>
      <w:r>
        <w:rPr>
          <w:rFonts w:ascii="Calibri" w:hAnsi="Calibri" w:eastAsia="Calibri"/>
          <w:b/>
          <w:color w:val="1F4E78"/>
          <w:sz w:val="22"/>
        </w:rPr>
        <w:t xml:space="preserve">— </w:t>
      </w:r>
      <w:r>
        <w:rPr>
          <w:rFonts w:ascii="Calibri" w:hAnsi="Calibri" w:eastAsia="Calibri"/>
          <w:color w:val="1F1F1F"/>
          <w:sz w:val="22"/>
        </w:rPr>
        <w:t>состав входных файлов и правила их проверки;</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правила построения двух независимых иерархий Инталев и ERP;</w:t>
      </w:r>
    </w:p>
    <w:p>
      <w:pPr>
        <w:pStyle w:val="ContractList"/>
      </w:pPr>
      <w:r>
        <w:rPr>
          <w:rFonts w:ascii="Calibri" w:hAnsi="Calibri" w:eastAsia="Calibri"/>
          <w:b/>
          <w:color w:val="1F4E78"/>
          <w:sz w:val="22"/>
        </w:rPr>
        <w:t xml:space="preserve">— </w:t>
      </w:r>
      <w:r>
        <w:rPr>
          <w:rFonts w:ascii="Calibri" w:hAnsi="Calibri" w:eastAsia="Calibri"/>
          <w:color w:val="1F1F1F"/>
          <w:sz w:val="22"/>
        </w:rPr>
        <w:t>формулу дельты и порядок раскрытия расхождений;</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правила поиска физических операций и формирования СТОРНО/РЕПОСТ;</w:t>
      </w:r>
    </w:p>
    <w:p>
      <w:pPr>
        <w:pStyle w:val="ContractList"/>
      </w:pPr>
      <w:r>
        <w:rPr>
          <w:rFonts w:ascii="Calibri" w:hAnsi="Calibri" w:eastAsia="Calibri"/>
          <w:b/>
          <w:color w:val="1F4E78"/>
          <w:sz w:val="22"/>
        </w:rPr>
        <w:t xml:space="preserve">— </w:t>
      </w:r>
      <w:r>
        <w:rPr>
          <w:rFonts w:ascii="Calibri" w:hAnsi="Calibri" w:eastAsia="Calibri"/>
          <w:color w:val="1F1F1F"/>
          <w:sz w:val="22"/>
        </w:rPr>
        <w:t>порядок пользовательского утверждения сопоставлений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формат выходных файлов, ограничения безопасности и критерии приёмки.</w:t>
      </w:r>
    </w:p>
    <w:p>
      <w:r>
        <w:br w:type="page"/>
      </w:r>
    </w:p>
    <w:p>
      <w:pPr>
        <w:pStyle w:val="Heading1"/>
        <w:keepNext/>
      </w:pPr>
      <w:r>
        <w:t>1. Цель и границы продукта</w:t>
      </w:r>
    </w:p>
    <w:p>
      <w:pPr/>
      <w:r>
        <w:rPr>
          <w:rFonts w:ascii="Calibri" w:hAnsi="Calibri" w:eastAsia="Calibri"/>
          <w:i w:val="0"/>
          <w:color w:val="1F1F1F"/>
          <w:sz w:val="22"/>
        </w:rPr>
        <w:t>Движок объединяет две самостоятельные части: R005 строит доказательную сверку ОПИУ, R001 читает готовую сверку и формирует проекты корректировок. Общий сетевой сервис и Rules Service не требуются.</w:t>
      </w:r>
    </w:p>
    <w:p>
      <w:pPr/>
      <w:r>
        <w:rPr>
          <w:rFonts w:ascii="Calibri" w:hAnsi="Calibri" w:eastAsia="Calibri"/>
          <w:i w:val="0"/>
          <w:color w:val="1F1F1F"/>
          <w:sz w:val="22"/>
        </w:rPr>
        <w:t>Продукт должен работать как переносимый пакет с EXE-файлом. Пользователь выбирает источники, период, организацию и папку результата; движок выполняет остальную работу локально.</w:t>
      </w:r>
    </w:p>
    <w:p>
      <w:pPr>
        <w:pStyle w:val="Heading2"/>
        <w:keepNext/>
      </w:pPr>
      <w:r>
        <w:t>1.1. Что входит</w:t>
      </w:r>
    </w:p>
    <w:p>
      <w:pPr>
        <w:pStyle w:val="ContractList"/>
      </w:pPr>
      <w:r>
        <w:rPr>
          <w:rFonts w:ascii="Calibri" w:hAnsi="Calibri" w:eastAsia="Calibri"/>
          <w:b/>
          <w:color w:val="1F4E78"/>
          <w:sz w:val="22"/>
        </w:rPr>
        <w:t xml:space="preserve">— </w:t>
      </w:r>
      <w:r>
        <w:rPr>
          <w:rFonts w:ascii="Calibri" w:hAnsi="Calibri" w:eastAsia="Calibri"/>
          <w:color w:val="1F1F1F"/>
          <w:sz w:val="22"/>
        </w:rPr>
        <w:t>сверка за месяц, квартал или год;</w:t>
      </w:r>
    </w:p>
    <w:p>
      <w:pPr>
        <w:pStyle w:val="ContractList"/>
      </w:pPr>
      <w:r>
        <w:rPr>
          <w:rFonts w:ascii="Calibri" w:hAnsi="Calibri" w:eastAsia="Calibri"/>
          <w:b/>
          <w:color w:val="1F4E78"/>
          <w:sz w:val="22"/>
        </w:rPr>
        <w:t xml:space="preserve">— </w:t>
      </w:r>
      <w:r>
        <w:rPr>
          <w:rFonts w:ascii="Calibri" w:hAnsi="Calibri" w:eastAsia="Calibri"/>
          <w:color w:val="1F1F1F"/>
          <w:sz w:val="22"/>
        </w:rPr>
        <w:t>сопоставление полного дерева Инталев с независимой структурой ERP;</w:t>
      </w:r>
    </w:p>
    <w:p>
      <w:pPr>
        <w:pStyle w:val="ContractList"/>
      </w:pPr>
      <w:r>
        <w:rPr>
          <w:rFonts w:ascii="Calibri" w:hAnsi="Calibri" w:eastAsia="Calibri"/>
          <w:b/>
          <w:color w:val="1F4E78"/>
          <w:sz w:val="22"/>
        </w:rPr>
        <w:t xml:space="preserve">— </w:t>
      </w:r>
      <w:r>
        <w:rPr>
          <w:rFonts w:ascii="Calibri" w:hAnsi="Calibri" w:eastAsia="Calibri"/>
          <w:color w:val="1F1F1F"/>
          <w:sz w:val="22"/>
        </w:rPr>
        <w:t>раскрытие сумм до статей, деталей и физических проводок;</w:t>
      </w:r>
    </w:p>
    <w:p>
      <w:pPr>
        <w:pStyle w:val="ContractList"/>
      </w:pPr>
      <w:r>
        <w:rPr>
          <w:rFonts w:ascii="Calibri" w:hAnsi="Calibri" w:eastAsia="Calibri"/>
          <w:b/>
          <w:color w:val="1F4E78"/>
          <w:sz w:val="22"/>
        </w:rPr>
        <w:t xml:space="preserve">— </w:t>
      </w:r>
      <w:r>
        <w:rPr>
          <w:rFonts w:ascii="Calibri" w:hAnsi="Calibri" w:eastAsia="Calibri"/>
          <w:color w:val="1F1F1F"/>
          <w:sz w:val="22"/>
        </w:rPr>
        <w:t>настройка пользовательских групп с нулевой дельтой;</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автоматические предположения по соответствию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реестр утверждения сопоставлений;</w:t>
      </w:r>
    </w:p>
    <w:p>
      <w:pPr>
        <w:pStyle w:val="ContractList"/>
      </w:pPr>
      <w:r>
        <w:rPr>
          <w:rFonts w:ascii="Calibri" w:hAnsi="Calibri" w:eastAsia="Calibri"/>
          <w:b/>
          <w:color w:val="1F4E78"/>
          <w:sz w:val="22"/>
        </w:rPr>
        <w:t xml:space="preserve">— </w:t>
      </w:r>
      <w:r>
        <w:rPr>
          <w:rFonts w:ascii="Calibri" w:hAnsi="Calibri" w:eastAsia="Calibri"/>
          <w:color w:val="1F1F1F"/>
          <w:sz w:val="22"/>
        </w:rPr>
        <w:t>проекты парных СТОРНО/РЕПОСТ и допустимых односторонних строк СПОРНО;</w:t>
      </w:r>
    </w:p>
    <w:p>
      <w:pPr>
        <w:pStyle w:val="ContractList"/>
      </w:pPr>
      <w:r>
        <w:rPr>
          <w:rFonts w:ascii="Calibri" w:hAnsi="Calibri" w:eastAsia="Calibri"/>
          <w:b/>
          <w:color w:val="1F4E78"/>
          <w:sz w:val="22"/>
        </w:rPr>
        <w:t xml:space="preserve">— </w:t>
      </w:r>
      <w:r>
        <w:rPr>
          <w:rFonts w:ascii="Calibri" w:hAnsi="Calibri" w:eastAsia="Calibri"/>
          <w:color w:val="1F1F1F"/>
          <w:sz w:val="22"/>
        </w:rPr>
        <w:t>контроль повторного использования строк и контроль сохранения общей суммы.</w:t>
      </w:r>
    </w:p>
    <w:p>
      <w:pPr>
        <w:pStyle w:val="Heading2"/>
        <w:keepNext/>
      </w:pPr>
      <w:r>
        <w:t>1.2. Что не входит</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автоматическая загрузка или проведение документов в 1С;</w:t>
      </w:r>
    </w:p>
    <w:p>
      <w:pPr>
        <w:pStyle w:val="ContractList"/>
      </w:pPr>
      <w:r>
        <w:rPr>
          <w:rFonts w:ascii="Calibri" w:hAnsi="Calibri" w:eastAsia="Calibri"/>
          <w:b/>
          <w:color w:val="1F4E78"/>
          <w:sz w:val="22"/>
        </w:rPr>
        <w:t xml:space="preserve">— </w:t>
      </w:r>
      <w:r>
        <w:rPr>
          <w:rFonts w:ascii="Calibri" w:hAnsi="Calibri" w:eastAsia="Calibri"/>
          <w:color w:val="1F1F1F"/>
          <w:sz w:val="22"/>
        </w:rPr>
        <w:t>удаление исходных операций ERP;</w:t>
      </w:r>
    </w:p>
    <w:p>
      <w:pPr>
        <w:pStyle w:val="ContractList"/>
      </w:pPr>
      <w:r>
        <w:rPr>
          <w:rFonts w:ascii="Calibri" w:hAnsi="Calibri" w:eastAsia="Calibri"/>
          <w:b/>
          <w:color w:val="1F4E78"/>
          <w:sz w:val="22"/>
        </w:rPr>
        <w:t xml:space="preserve">— </w:t>
      </w:r>
      <w:r>
        <w:rPr>
          <w:rFonts w:ascii="Calibri" w:hAnsi="Calibri" w:eastAsia="Calibri"/>
          <w:color w:val="1F1F1F"/>
          <w:sz w:val="22"/>
        </w:rPr>
        <w:t>скрытое применение внешнего сервиса правил;</w:t>
      </w:r>
    </w:p>
    <w:p>
      <w:pPr>
        <w:pStyle w:val="ContractList"/>
      </w:pPr>
      <w:r>
        <w:rPr>
          <w:rFonts w:ascii="Calibri" w:hAnsi="Calibri" w:eastAsia="Calibri"/>
          <w:b/>
          <w:color w:val="1F4E78"/>
          <w:sz w:val="22"/>
        </w:rPr>
        <w:t xml:space="preserve">— </w:t>
      </w:r>
      <w:r>
        <w:rPr>
          <w:rFonts w:ascii="Calibri" w:hAnsi="Calibri" w:eastAsia="Calibri"/>
          <w:color w:val="1F1F1F"/>
          <w:sz w:val="22"/>
        </w:rPr>
        <w:t>объединение деревьев Инталев и ERP в одну искусственную структуру;</w:t>
      </w:r>
    </w:p>
    <w:p>
      <w:pPr>
        <w:pStyle w:val="ContractList"/>
      </w:pPr>
      <w:r>
        <w:rPr>
          <w:rFonts w:ascii="Calibri" w:hAnsi="Calibri" w:eastAsia="Calibri"/>
          <w:b/>
          <w:color w:val="1F4E78"/>
          <w:sz w:val="22"/>
        </w:rPr>
        <w:t xml:space="preserve">— </w:t>
      </w:r>
      <w:r>
        <w:rPr>
          <w:rFonts w:ascii="Calibri" w:hAnsi="Calibri" w:eastAsia="Calibri"/>
          <w:color w:val="1F1F1F"/>
          <w:sz w:val="22"/>
        </w:rPr>
        <w:t>создание финансовой проводки только по похожему названию или приблизительной сумме.</w:t>
      </w:r>
    </w:p>
    <w:p>
      <w:pPr>
        <w:pStyle w:val="Heading1"/>
        <w:keepNext/>
      </w:pPr>
      <w:r>
        <w:t>2. Понятия</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300"/>
        <w:gridCol w:w="7060"/>
      </w:tblGrid>
      <w:tr>
        <w:trPr>
          <w:tblHeader w:val="true"/>
          <w:cantSplit/>
        </w:trPr>
        <w:tc>
          <w:tcPr>
            <w:tcW w:type="dxa" w:w="23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Термин</w:t>
            </w:r>
          </w:p>
        </w:tc>
        <w:tc>
          <w:tcPr>
            <w:tcW w:type="dxa" w:w="7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Простое определение</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Инталев</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Источник управленческого ОПИУ, его фактической иерархии и журнала/архива операций.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ERP</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Источник исходной структуры ОПИУ ERP, справочника статей БДР и журнала проводок МСФО.</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Статья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Элемент справочника или строка ОПИУ. Статья не является физической операцией.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Физическая операция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Конкретная строка журнала с датой, документом, номером строки, счетами, суммой, организацией, статьёй и аналитиками.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Дельта</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Инталев минус ERP для одной сопоставленной строки или группы.</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Нераскрытая дельта</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Остаток дельты родительской группы, который не объяснён показанными дочерними строками.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СТОРНО</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Обратная строка по ошибочной физической проводке ERP.</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РЕПОСТ</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Повтор той же операции с правильной статьёй ERP внутри нужного блока.</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СПОРНО</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Проект строки для проверки, когда одной стороны или полного доказательства пока нет.</w:t>
            </w:r>
          </w:p>
        </w:tc>
      </w:tr>
    </w:tbl>
    <w:p>
      <w:pPr>
        <w:pStyle w:val="Heading1"/>
        <w:keepNext/>
      </w:pPr>
      <w:r>
        <w:t>3. Входные данные</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000"/>
        <w:gridCol w:w="2500"/>
        <w:gridCol w:w="4860"/>
      </w:tblGrid>
      <w:tr>
        <w:trPr>
          <w:tblHeader w:val="true"/>
          <w:cantSplit/>
        </w:trPr>
        <w:tc>
          <w:tcPr>
            <w:tcW w:type="dxa" w:w="2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Вход</w:t>
            </w:r>
          </w:p>
        </w:tc>
        <w:tc>
          <w:tcPr>
            <w:tcW w:type="dxa" w:w="2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Форма</w:t>
            </w:r>
          </w:p>
        </w:tc>
        <w:tc>
          <w:tcPr>
            <w:tcW w:type="dxa" w:w="48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Для чего нужен</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Архив Инталев</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ZIP или совместимый Excel/папка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ОПИУ, классификатор статей, доступные журналы и полный путь иерархии</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Источник ERP</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ZIP, Excel или подготовленная папка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ОПИУ ERP и журнал проводок МСФО; для корректировок журнал обязателен</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Период</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ГГГГ-ММ, квартал или год</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Должен однозначно определяться внутри источников</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Организация</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Верхний уровень ERP</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Например: 1 Хабаровск, 3 Сахалин, 9 Управляющая компания</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Справочники ERP</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Показатели, формулы, аналитики, StatD_R</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Определяют структуру и коды статей ERP</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Реестр утверждений</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Локальный XLSX/JSON</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Хранит подтверждённые и запрещённые соответствия</w:t>
            </w:r>
          </w:p>
        </w:tc>
      </w:tr>
      <w:tr>
        <w:trPr>
          <w:cantSplit/>
        </w:trPr>
        <w:tc>
          <w:tcPr>
            <w:tcW w:type="dxa" w:w="2000"/>
            <w:tcMar>
              <w:top w:w="80" w:type="dxa"/>
              <w:start w:w="120" w:type="dxa"/>
              <w:bottom w:w="80" w:type="dxa"/>
              <w:end w:w="120" w:type="dxa"/>
            </w:tcMar>
            <w:vAlign w:val="top"/>
          </w:tcPr>
          <w:p>
            <w:pPr>
              <w:spacing w:after="0"/>
            </w:pPr>
            <w:r>
              <w:rPr>
                <w:rFonts w:ascii="Calibri" w:hAnsi="Calibri" w:eastAsia="Calibri"/>
                <w:color w:val="1F1F1F"/>
                <w:sz w:val="18"/>
              </w:rPr>
              <w:t>Группы нулевой дельты</w:t>
            </w:r>
          </w:p>
        </w:tc>
        <w:tc>
          <w:tcPr>
            <w:tcW w:type="dxa" w:w="2500"/>
            <w:tcMar>
              <w:top w:w="80" w:type="dxa"/>
              <w:start w:w="120" w:type="dxa"/>
              <w:bottom w:w="80" w:type="dxa"/>
              <w:end w:w="120" w:type="dxa"/>
            </w:tcMar>
            <w:vAlign w:val="top"/>
          </w:tcPr>
          <w:p>
            <w:pPr>
              <w:spacing w:after="0"/>
            </w:pPr>
            <w:r>
              <w:rPr>
                <w:rFonts w:ascii="Calibri" w:hAnsi="Calibri" w:eastAsia="Calibri"/>
                <w:color w:val="1F1F1F"/>
                <w:sz w:val="18"/>
              </w:rPr>
              <w:t>Локальный CSV/настройка интерфейса</w:t>
            </w:r>
          </w:p>
        </w:tc>
        <w:tc>
          <w:tcPr>
            <w:tcW w:type="dxa" w:w="4860"/>
            <w:tcMar>
              <w:top w:w="80" w:type="dxa"/>
              <w:start w:w="120" w:type="dxa"/>
              <w:bottom w:w="80" w:type="dxa"/>
              <w:end w:w="120" w:type="dxa"/>
            </w:tcMar>
            <w:vAlign w:val="top"/>
          </w:tcPr>
          <w:p>
            <w:pPr>
              <w:spacing w:after="0"/>
            </w:pPr>
            <w:r>
              <w:rPr>
                <w:rFonts w:ascii="Calibri" w:hAnsi="Calibri" w:eastAsia="Calibri"/>
                <w:color w:val="1F1F1F"/>
                <w:sz w:val="18"/>
              </w:rPr>
              <w:t>Отдельные выбранные блоки Инталев и ERP</w:t>
            </w:r>
          </w:p>
        </w:tc>
      </w:tr>
    </w:tbl>
    <w:p>
      <w:pPr>
        <w:pStyle w:val="Heading2"/>
        <w:keepNext/>
      </w:pPr>
      <w:r>
        <w:t>3.1. Обязательная проверка источников</w:t>
      </w:r>
    </w:p>
    <w:p>
      <w:pPr>
        <w:pStyle w:val="ContractList"/>
      </w:pPr>
      <w:r>
        <w:rPr>
          <w:rFonts w:ascii="Calibri" w:hAnsi="Calibri" w:eastAsia="Calibri"/>
          <w:b/>
          <w:color w:val="1F4E78"/>
          <w:sz w:val="22"/>
        </w:rPr>
        <w:t xml:space="preserve">— </w:t>
      </w:r>
      <w:r>
        <w:rPr>
          <w:rFonts w:ascii="Calibri" w:hAnsi="Calibri" w:eastAsia="Calibri"/>
          <w:color w:val="1F1F1F"/>
          <w:sz w:val="22"/>
        </w:rPr>
        <w:t>Один и тот же путь нельзя одновременно использовать как Инталев и ERP.</w:t>
      </w:r>
    </w:p>
    <w:p>
      <w:pPr>
        <w:pStyle w:val="ContractList"/>
      </w:pPr>
      <w:r>
        <w:rPr>
          <w:rFonts w:ascii="Calibri" w:hAnsi="Calibri" w:eastAsia="Calibri"/>
          <w:b/>
          <w:color w:val="1F4E78"/>
          <w:sz w:val="22"/>
        </w:rPr>
        <w:t xml:space="preserve">— </w:t>
      </w:r>
      <w:r>
        <w:rPr>
          <w:rFonts w:ascii="Calibri" w:hAnsi="Calibri" w:eastAsia="Calibri"/>
          <w:color w:val="1F1F1F"/>
          <w:sz w:val="22"/>
        </w:rPr>
        <w:t>Организации в Инталев и ERP должны соответствовать выбранному верхнему уровню.</w:t>
      </w:r>
    </w:p>
    <w:p>
      <w:pPr>
        <w:pStyle w:val="ContractList"/>
      </w:pPr>
      <w:r>
        <w:rPr>
          <w:rFonts w:ascii="Calibri" w:hAnsi="Calibri" w:eastAsia="Calibri"/>
          <w:b/>
          <w:color w:val="1F4E78"/>
          <w:sz w:val="22"/>
        </w:rPr>
        <w:t xml:space="preserve">— </w:t>
      </w:r>
      <w:r>
        <w:rPr>
          <w:rFonts w:ascii="Calibri" w:hAnsi="Calibri" w:eastAsia="Calibri"/>
          <w:color w:val="1F1F1F"/>
          <w:sz w:val="22"/>
        </w:rPr>
        <w:t>Для выбранного месяца должен быть найден ровно один внутренний заголовок периода.</w:t>
      </w:r>
    </w:p>
    <w:p>
      <w:pPr>
        <w:pStyle w:val="ContractList"/>
      </w:pPr>
      <w:r>
        <w:rPr>
          <w:rFonts w:ascii="Calibri" w:hAnsi="Calibri" w:eastAsia="Calibri"/>
          <w:b/>
          <w:color w:val="1F4E78"/>
          <w:sz w:val="22"/>
        </w:rPr>
        <w:t xml:space="preserve">— </w:t>
      </w:r>
      <w:r>
        <w:rPr>
          <w:rFonts w:ascii="Calibri" w:hAnsi="Calibri" w:eastAsia="Calibri"/>
          <w:color w:val="1F1F1F"/>
          <w:sz w:val="22"/>
        </w:rPr>
        <w:t>Журнал ERP определяется не только по имени файла, но и по обязательным колонкам.</w:t>
      </w:r>
    </w:p>
    <w:p>
      <w:pPr>
        <w:pStyle w:val="ContractList"/>
      </w:pPr>
      <w:r>
        <w:rPr>
          <w:rFonts w:ascii="Calibri" w:hAnsi="Calibri" w:eastAsia="Calibri"/>
          <w:b/>
          <w:color w:val="1F4E78"/>
          <w:sz w:val="22"/>
        </w:rPr>
        <w:t xml:space="preserve">— </w:t>
      </w:r>
      <w:r>
        <w:rPr>
          <w:rFonts w:ascii="Calibri" w:hAnsi="Calibri" w:eastAsia="Calibri"/>
          <w:color w:val="1F1F1F"/>
          <w:sz w:val="22"/>
        </w:rPr>
        <w:t>Старые XLS и нестандартные имена нормализуются в рабочей копии; исходник не изменяется.</w:t>
      </w:r>
    </w:p>
    <w:p>
      <w:pPr>
        <w:pStyle w:val="ContractList"/>
      </w:pPr>
      <w:r>
        <w:rPr>
          <w:rFonts w:ascii="Calibri" w:hAnsi="Calibri" w:eastAsia="Calibri"/>
          <w:b/>
          <w:color w:val="1F4E78"/>
          <w:sz w:val="22"/>
        </w:rPr>
        <w:t xml:space="preserve">— </w:t>
      </w:r>
      <w:r>
        <w:rPr>
          <w:rFonts w:ascii="Calibri" w:hAnsi="Calibri" w:eastAsia="Calibri"/>
          <w:color w:val="1F1F1F"/>
          <w:sz w:val="22"/>
        </w:rPr>
        <w:t>При неоднозначности движок останавливает финансовую часть, но сохраняет диагностический отчёт.</w:t>
      </w:r>
    </w:p>
    <w:p>
      <w:pPr>
        <w:pStyle w:val="Heading1"/>
        <w:keepNext/>
      </w:pPr>
      <w:r>
        <w:t>4. Контракт иерархий</w:t>
      </w:r>
    </w:p>
    <w:tbl>
      <w:tblPr>
        <w:tblW w:type="dxa" w:w="9360"/>
        <w:jc w:val="left"/>
        <w:tblLayout w:type="fixed"/>
        <w:tblLook w:firstColumn="1" w:firstRow="1" w:lastColumn="0" w:lastRow="0" w:noHBand="0" w:noVBand="1" w:val="04A0"/>
        <w:tblInd w:w="12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eastAsia="Calibri"/>
                <w:b/>
                <w:color w:val="1F4E78"/>
                <w:sz w:val="22"/>
              </w:rPr>
              <w:t xml:space="preserve">Правило двух деревьев. </w:t>
            </w:r>
            <w:r>
              <w:rPr>
                <w:rFonts w:ascii="Calibri" w:hAnsi="Calibri" w:eastAsia="Calibri"/>
                <w:color w:val="1F1F1F"/>
                <w:sz w:val="22"/>
              </w:rPr>
              <w:t>Слева всегда показывается фактическая структура из выбранного архива Инталев. Справа всегда используется исходная структура ERP как в API/выгрузке. Деревья сравниваются, но не подменяют друг друга.</w:t>
            </w:r>
          </w:p>
        </w:tc>
      </w:tr>
    </w:tbl>
    <w:p>
      <w:pPr>
        <w:spacing w:after="0"/>
      </w:pPr>
    </w:p>
    <w:p>
      <w:pPr>
        <w:pStyle w:val="Heading2"/>
        <w:keepNext/>
      </w:pPr>
      <w:r>
        <w:t>4.1. Иерархия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Строится по фактическому полному пути, UUID и UUID родителя.</w:t>
      </w:r>
    </w:p>
    <w:p>
      <w:pPr>
        <w:pStyle w:val="ContractList"/>
      </w:pPr>
      <w:r>
        <w:rPr>
          <w:rFonts w:ascii="Calibri" w:hAnsi="Calibri" w:eastAsia="Calibri"/>
          <w:b/>
          <w:color w:val="1F4E78"/>
          <w:sz w:val="22"/>
        </w:rPr>
        <w:t xml:space="preserve">— </w:t>
      </w:r>
      <w:r>
        <w:rPr>
          <w:rFonts w:ascii="Calibri" w:hAnsi="Calibri" w:eastAsia="Calibri"/>
          <w:color w:val="1F1F1F"/>
          <w:sz w:val="22"/>
        </w:rPr>
        <w:t>Использует поля Наименование, ПолныйПуть, ПометкаУдаления и реквизит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Числовой префикс блока сохраняется для показа, но не мешает сопоставлению названия.</w:t>
      </w:r>
    </w:p>
    <w:p>
      <w:pPr>
        <w:pStyle w:val="ContractList"/>
      </w:pPr>
      <w:r>
        <w:rPr>
          <w:rFonts w:ascii="Calibri" w:hAnsi="Calibri" w:eastAsia="Calibri"/>
          <w:b/>
          <w:color w:val="1F4E78"/>
          <w:sz w:val="22"/>
        </w:rPr>
        <w:t xml:space="preserve">— </w:t>
      </w:r>
      <w:r>
        <w:rPr>
          <w:rFonts w:ascii="Calibri" w:hAnsi="Calibri" w:eastAsia="Calibri"/>
          <w:color w:val="1F1F1F"/>
          <w:sz w:val="22"/>
        </w:rPr>
        <w:t>Пустые статьи и техническая допаналитика остаются в своём фактическом месте.</w:t>
      </w:r>
    </w:p>
    <w:p>
      <w:pPr>
        <w:pStyle w:val="ContractList"/>
      </w:pPr>
      <w:r>
        <w:rPr>
          <w:rFonts w:ascii="Calibri" w:hAnsi="Calibri" w:eastAsia="Calibri"/>
          <w:b/>
          <w:color w:val="1F4E78"/>
          <w:sz w:val="22"/>
        </w:rPr>
        <w:t xml:space="preserve">— </w:t>
      </w:r>
      <w:r>
        <w:rPr>
          <w:rFonts w:ascii="Calibri" w:hAnsi="Calibri" w:eastAsia="Calibri"/>
          <w:color w:val="1F1F1F"/>
          <w:sz w:val="22"/>
        </w:rPr>
        <w:t>Неполные или конфликтные ветви помечаются, но не переносятся к случайному родителю.</w:t>
      </w:r>
    </w:p>
    <w:p>
      <w:pPr>
        <w:pStyle w:val="Heading2"/>
        <w:keepNext/>
      </w:pPr>
      <w:r>
        <w:t>4.2. Иерархия ERP</w:t>
      </w:r>
    </w:p>
    <w:p>
      <w:pPr>
        <w:pStyle w:val="ContractList"/>
      </w:pPr>
      <w:r>
        <w:rPr>
          <w:rFonts w:ascii="Calibri" w:hAnsi="Calibri" w:eastAsia="Calibri"/>
          <w:b/>
          <w:color w:val="1F4E78"/>
          <w:sz w:val="22"/>
        </w:rPr>
        <w:t xml:space="preserve">— </w:t>
      </w:r>
      <w:r>
        <w:rPr>
          <w:rFonts w:ascii="Calibri" w:hAnsi="Calibri" w:eastAsia="Calibri"/>
          <w:color w:val="1F1F1F"/>
          <w:sz w:val="22"/>
        </w:rPr>
        <w:t>Строится независимо по API/исходной выгрузке и справочникам ERP.</w:t>
      </w:r>
    </w:p>
    <w:p>
      <w:pPr>
        <w:pStyle w:val="ContractList"/>
      </w:pPr>
      <w:r>
        <w:rPr>
          <w:rFonts w:ascii="Calibri" w:hAnsi="Calibri" w:eastAsia="Calibri"/>
          <w:b/>
          <w:color w:val="1F4E78"/>
          <w:sz w:val="22"/>
        </w:rPr>
        <w:t xml:space="preserve">— </w:t>
      </w:r>
      <w:r>
        <w:rPr>
          <w:rFonts w:ascii="Calibri" w:hAnsi="Calibri" w:eastAsia="Calibri"/>
          <w:color w:val="1F1F1F"/>
          <w:sz w:val="22"/>
        </w:rPr>
        <w:t>Одинаковые названия в разных блоках считаются разными статьями.</w:t>
      </w:r>
    </w:p>
    <w:p>
      <w:pPr>
        <w:pStyle w:val="ContractList"/>
      </w:pPr>
      <w:r>
        <w:rPr>
          <w:rFonts w:ascii="Calibri" w:hAnsi="Calibri" w:eastAsia="Calibri"/>
          <w:b/>
          <w:color w:val="1F4E78"/>
          <w:sz w:val="22"/>
        </w:rPr>
        <w:t xml:space="preserve">— </w:t>
      </w:r>
      <w:r>
        <w:rPr>
          <w:rFonts w:ascii="Calibri" w:hAnsi="Calibri" w:eastAsia="Calibri"/>
          <w:color w:val="1F1F1F"/>
          <w:sz w:val="22"/>
        </w:rPr>
        <w:t>Серая строка на листе сверки означает статью ERP, отсутствующую в дереве Инталев; это не операция.</w:t>
      </w:r>
    </w:p>
    <w:p>
      <w:pPr>
        <w:pStyle w:val="ContractList"/>
      </w:pPr>
      <w:r>
        <w:rPr>
          <w:rFonts w:ascii="Calibri" w:hAnsi="Calibri" w:eastAsia="Calibri"/>
          <w:b/>
          <w:color w:val="1F4E78"/>
          <w:sz w:val="22"/>
        </w:rPr>
        <w:t xml:space="preserve">— </w:t>
      </w:r>
      <w:r>
        <w:rPr>
          <w:rFonts w:ascii="Calibri" w:hAnsi="Calibri" w:eastAsia="Calibri"/>
          <w:color w:val="1F1F1F"/>
          <w:sz w:val="22"/>
        </w:rPr>
        <w:t>Физические операции показываются отдельно на журнальных листах и в доказательствах.</w:t>
      </w:r>
    </w:p>
    <w:p>
      <w:pPr>
        <w:pStyle w:val="Heading2"/>
        <w:keepNext/>
      </w:pPr>
      <w:r>
        <w:t>4.3. Обязательные блоки</w:t>
      </w:r>
    </w:p>
    <w:p>
      <w:pPr/>
      <w:r>
        <w:rPr>
          <w:rFonts w:ascii="Calibri" w:hAnsi="Calibri" w:eastAsia="Calibri"/>
          <w:i w:val="0"/>
          <w:color w:val="1F1F1F"/>
          <w:sz w:val="22"/>
        </w:rPr>
        <w:t>Движок не использует закрытый список блоков. Он обязан вывести все фактические верхнеуровневые блоки расходов, найденные под узлом статей ОПиУ Инталев. В частности, должны сохраняться:</w:t>
      </w:r>
    </w:p>
    <w:p>
      <w:pPr>
        <w:pStyle w:val="ContractList"/>
      </w:pPr>
      <w:r>
        <w:rPr>
          <w:rFonts w:ascii="Calibri" w:hAnsi="Calibri" w:eastAsia="Calibri"/>
          <w:b/>
          <w:color w:val="1F4E78"/>
          <w:sz w:val="22"/>
        </w:rPr>
        <w:t xml:space="preserve">— </w:t>
      </w:r>
      <w:r>
        <w:rPr>
          <w:rFonts w:ascii="Calibri" w:hAnsi="Calibri" w:eastAsia="Calibri"/>
          <w:color w:val="1F1F1F"/>
          <w:sz w:val="22"/>
        </w:rPr>
        <w:t>Административные расходы;</w:t>
      </w:r>
    </w:p>
    <w:p>
      <w:pPr>
        <w:pStyle w:val="ContractList"/>
      </w:pPr>
      <w:r>
        <w:rPr>
          <w:rFonts w:ascii="Calibri" w:hAnsi="Calibri" w:eastAsia="Calibri"/>
          <w:b/>
          <w:color w:val="1F4E78"/>
          <w:sz w:val="22"/>
        </w:rPr>
        <w:t xml:space="preserve">— </w:t>
      </w:r>
      <w:r>
        <w:rPr>
          <w:rFonts w:ascii="Calibri" w:hAnsi="Calibri" w:eastAsia="Calibri"/>
          <w:color w:val="1F1F1F"/>
          <w:sz w:val="22"/>
        </w:rPr>
        <w:t>Коммерческие расходы;</w:t>
      </w:r>
    </w:p>
    <w:p>
      <w:pPr>
        <w:pStyle w:val="ContractList"/>
      </w:pPr>
      <w:r>
        <w:rPr>
          <w:rFonts w:ascii="Calibri" w:hAnsi="Calibri" w:eastAsia="Calibri"/>
          <w:b/>
          <w:color w:val="1F4E78"/>
          <w:sz w:val="22"/>
        </w:rPr>
        <w:t xml:space="preserve">— </w:t>
      </w:r>
      <w:r>
        <w:rPr>
          <w:rFonts w:ascii="Calibri" w:hAnsi="Calibri" w:eastAsia="Calibri"/>
          <w:color w:val="1F1F1F"/>
          <w:sz w:val="22"/>
        </w:rPr>
        <w:t>Расходы на транспортную логистику;</w:t>
      </w:r>
    </w:p>
    <w:p>
      <w:pPr>
        <w:pStyle w:val="ContractList"/>
      </w:pPr>
      <w:r>
        <w:rPr>
          <w:rFonts w:ascii="Calibri" w:hAnsi="Calibri" w:eastAsia="Calibri"/>
          <w:b/>
          <w:color w:val="1F4E78"/>
          <w:sz w:val="22"/>
        </w:rPr>
        <w:t xml:space="preserve">— </w:t>
      </w:r>
      <w:r>
        <w:rPr>
          <w:rFonts w:ascii="Calibri" w:hAnsi="Calibri" w:eastAsia="Calibri"/>
          <w:color w:val="1F1F1F"/>
          <w:sz w:val="22"/>
        </w:rPr>
        <w:t>Расходы на складскую логистику;</w:t>
      </w:r>
    </w:p>
    <w:p>
      <w:pPr>
        <w:pStyle w:val="ContractList"/>
      </w:pPr>
      <w:r>
        <w:rPr>
          <w:rFonts w:ascii="Calibri" w:hAnsi="Calibri" w:eastAsia="Calibri"/>
          <w:b/>
          <w:color w:val="1F4E78"/>
          <w:sz w:val="22"/>
        </w:rPr>
        <w:t xml:space="preserve">— </w:t>
      </w:r>
      <w:r>
        <w:rPr>
          <w:rFonts w:ascii="Calibri" w:hAnsi="Calibri" w:eastAsia="Calibri"/>
          <w:color w:val="1F1F1F"/>
          <w:sz w:val="22"/>
        </w:rPr>
        <w:t>Финансовые и внереализационные блоки, если они присутствуют в источнике;</w:t>
      </w:r>
    </w:p>
    <w:p>
      <w:pPr>
        <w:pStyle w:val="ContractList"/>
      </w:pPr>
      <w:r>
        <w:rPr>
          <w:rFonts w:ascii="Calibri" w:hAnsi="Calibri" w:eastAsia="Calibri"/>
          <w:b/>
          <w:color w:val="1F4E78"/>
          <w:sz w:val="22"/>
        </w:rPr>
        <w:t xml:space="preserve">— </w:t>
      </w:r>
      <w:r>
        <w:rPr>
          <w:rFonts w:ascii="Calibri" w:hAnsi="Calibri" w:eastAsia="Calibri"/>
          <w:color w:val="1F1F1F"/>
          <w:sz w:val="22"/>
        </w:rPr>
        <w:t>все дочерние статьи: ФЗП, НДФЛ, налоги зарплатные, расходы ИТ, расходы на персонал, реклама и маркетинг, компенсации и прочие фактические детали.</w:t>
      </w:r>
    </w:p>
    <w:p>
      <w:pPr>
        <w:pStyle w:val="Heading1"/>
        <w:keepNext/>
      </w:pPr>
      <w:r>
        <w:t>5. Расчёт сверки</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top"/>
            <w:shd w:fill="FFF2CC"/>
          </w:tcPr>
          <w:p>
            <w:pPr>
              <w:spacing w:after="0"/>
            </w:pPr>
            <w:r>
              <w:rPr>
                <w:rFonts w:ascii="Calibri" w:hAnsi="Calibri" w:eastAsia="Calibri"/>
                <w:b/>
                <w:color w:val="7A5A00"/>
                <w:sz w:val="22"/>
              </w:rPr>
              <w:t xml:space="preserve">Формула. </w:t>
            </w:r>
            <w:r>
              <w:rPr>
                <w:rFonts w:ascii="Calibri" w:hAnsi="Calibri" w:eastAsia="Calibri"/>
                <w:color w:val="1F1F1F"/>
                <w:sz w:val="22"/>
              </w:rPr>
              <w:t>Дельта = сумма Инталев − сумма ERP.</w:t>
            </w:r>
          </w:p>
        </w:tc>
      </w:tr>
    </w:tbl>
    <w:p>
      <w:pPr>
        <w:spacing w:after="0"/>
      </w:pPr>
    </w:p>
    <w:p>
      <w:pPr>
        <w:pStyle w:val="ContractList"/>
      </w:pPr>
      <w:r>
        <w:rPr>
          <w:rFonts w:ascii="Calibri" w:hAnsi="Calibri" w:eastAsia="Calibri"/>
          <w:b/>
          <w:color w:val="1F4E78"/>
          <w:sz w:val="22"/>
        </w:rPr>
        <w:t xml:space="preserve">— </w:t>
      </w:r>
      <w:r>
        <w:rPr>
          <w:rFonts w:ascii="Calibri" w:hAnsi="Calibri" w:eastAsia="Calibri"/>
          <w:color w:val="1F1F1F"/>
          <w:sz w:val="22"/>
        </w:rPr>
        <w:t>Суммы считаются в точных копейках, без округлительного подбора.</w:t>
      </w:r>
    </w:p>
    <w:p>
      <w:pPr>
        <w:pStyle w:val="ContractList"/>
      </w:pPr>
      <w:r>
        <w:rPr>
          <w:rFonts w:ascii="Calibri" w:hAnsi="Calibri" w:eastAsia="Calibri"/>
          <w:b/>
          <w:color w:val="1F4E78"/>
          <w:sz w:val="22"/>
        </w:rPr>
        <w:t xml:space="preserve">— </w:t>
      </w:r>
      <w:r>
        <w:rPr>
          <w:rFonts w:ascii="Calibri" w:hAnsi="Calibri" w:eastAsia="Calibri"/>
          <w:color w:val="1F1F1F"/>
          <w:sz w:val="22"/>
        </w:rPr>
        <w:t>Родительский итог не суммируется повторно с собственными дочерними деталями.</w:t>
      </w:r>
    </w:p>
    <w:p>
      <w:pPr>
        <w:pStyle w:val="ContractList"/>
      </w:pPr>
      <w:r>
        <w:rPr>
          <w:rFonts w:ascii="Calibri" w:hAnsi="Calibri" w:eastAsia="Calibri"/>
          <w:b/>
          <w:color w:val="1F4E78"/>
          <w:sz w:val="22"/>
        </w:rPr>
        <w:t xml:space="preserve">— </w:t>
      </w:r>
      <w:r>
        <w:rPr>
          <w:rFonts w:ascii="Calibri" w:hAnsi="Calibri" w:eastAsia="Calibri"/>
          <w:color w:val="1F1F1F"/>
          <w:sz w:val="22"/>
        </w:rPr>
        <w:t>Если родительской суммы ERP нет, она может быть восстановлена снизу вверх только из доказанных прямых дочерних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Дельта группы равна сумме дельт полных дочерних статей плюс нераспределённый остаток.</w:t>
      </w:r>
    </w:p>
    <w:p>
      <w:pPr>
        <w:pStyle w:val="ContractList"/>
      </w:pPr>
      <w:r>
        <w:rPr>
          <w:rFonts w:ascii="Calibri" w:hAnsi="Calibri" w:eastAsia="Calibri"/>
          <w:b/>
          <w:color w:val="1F4E78"/>
          <w:sz w:val="22"/>
        </w:rPr>
        <w:t xml:space="preserve">— </w:t>
      </w:r>
      <w:r>
        <w:rPr>
          <w:rFonts w:ascii="Calibri" w:hAnsi="Calibri" w:eastAsia="Calibri"/>
          <w:color w:val="1F1F1F"/>
          <w:sz w:val="22"/>
        </w:rPr>
        <w:t>Любая итоговая дельта должна раскрываться внутри: статья, пустая ветвь, ERP-only строка, журнал или явно отмеченный остаток.</w:t>
      </w:r>
    </w:p>
    <w:p>
      <w:pPr>
        <w:pStyle w:val="ContractList"/>
      </w:pPr>
      <w:r>
        <w:rPr>
          <w:rFonts w:ascii="Calibri" w:hAnsi="Calibri" w:eastAsia="Calibri"/>
          <w:b/>
          <w:color w:val="1F4E78"/>
          <w:sz w:val="22"/>
        </w:rPr>
        <w:t xml:space="preserve">— </w:t>
      </w:r>
      <w:r>
        <w:rPr>
          <w:rFonts w:ascii="Calibri" w:hAnsi="Calibri" w:eastAsia="Calibri"/>
          <w:color w:val="1F1F1F"/>
          <w:sz w:val="22"/>
        </w:rPr>
        <w:t>Изменение структуры не должно удалять экономические детали и не должно изменять общий итог ОПИУ.</w:t>
      </w:r>
    </w:p>
    <w:p>
      <w:pPr>
        <w:pStyle w:val="Heading1"/>
        <w:keepNext/>
      </w:pPr>
      <w:r>
        <w:t>6. Поиск расхождений через журналы</w:t>
      </w:r>
    </w:p>
    <w:p>
      <w:pPr/>
      <w:r>
        <w:rPr>
          <w:rFonts w:ascii="Calibri" w:hAnsi="Calibri" w:eastAsia="Calibri"/>
          <w:i w:val="0"/>
          <w:color w:val="1F1F1F"/>
          <w:sz w:val="22"/>
        </w:rPr>
        <w:t>Журнал проводок является основным доказательным ресурсом. Сопоставление строится от конкретных физических строк, а не от похожих итогов отчёта.</w:t>
      </w:r>
    </w:p>
    <w:p>
      <w:pPr>
        <w:pStyle w:val="Heading2"/>
        <w:keepNext/>
      </w:pPr>
      <w:r>
        <w:t>6.1. Последовательность поиска</w:t>
      </w:r>
    </w:p>
    <w:p>
      <w:pPr>
        <w:pStyle w:val="ContractList"/>
      </w:pPr>
      <w:r>
        <w:rPr>
          <w:rFonts w:ascii="Calibri" w:hAnsi="Calibri" w:eastAsia="Calibri"/>
          <w:b/>
          <w:color w:val="1F4E78"/>
          <w:sz w:val="22"/>
        </w:rPr>
        <w:t xml:space="preserve">— </w:t>
      </w:r>
      <w:r>
        <w:rPr>
          <w:rFonts w:ascii="Calibri" w:hAnsi="Calibri" w:eastAsia="Calibri"/>
          <w:color w:val="1F1F1F"/>
          <w:sz w:val="22"/>
        </w:rPr>
        <w:t>Ограничить строки организацией и периодом.</w:t>
      </w:r>
    </w:p>
    <w:p>
      <w:pPr>
        <w:pStyle w:val="ContractList"/>
      </w:pPr>
      <w:r>
        <w:rPr>
          <w:rFonts w:ascii="Calibri" w:hAnsi="Calibri" w:eastAsia="Calibri"/>
          <w:b/>
          <w:color w:val="1F4E78"/>
          <w:sz w:val="22"/>
        </w:rPr>
        <w:t xml:space="preserve">— </w:t>
      </w:r>
      <w:r>
        <w:rPr>
          <w:rFonts w:ascii="Calibri" w:hAnsi="Calibri" w:eastAsia="Calibri"/>
          <w:color w:val="1F1F1F"/>
          <w:sz w:val="22"/>
        </w:rPr>
        <w:t>Найти кандидатов по точной сумме и знаку.</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дату, документ и номер строки.</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счета Дт/Кт и расчётную сторону.</w:t>
      </w:r>
    </w:p>
    <w:p>
      <w:pPr>
        <w:pStyle w:val="ContractList"/>
      </w:pPr>
      <w:r>
        <w:rPr>
          <w:rFonts w:ascii="Calibri" w:hAnsi="Calibri" w:eastAsia="Calibri"/>
          <w:b/>
          <w:color w:val="1F4E78"/>
          <w:sz w:val="22"/>
        </w:rPr>
        <w:t xml:space="preserve">— </w:t>
      </w:r>
      <w:r>
        <w:rPr>
          <w:rFonts w:ascii="Calibri" w:hAnsi="Calibri" w:eastAsia="Calibri"/>
          <w:color w:val="1F1F1F"/>
          <w:sz w:val="22"/>
        </w:rPr>
        <w:t>Сверить сотрудника, контрагента, подразделение и другие аналитики.</w:t>
      </w:r>
    </w:p>
    <w:p>
      <w:pPr>
        <w:pStyle w:val="ContractList"/>
      </w:pPr>
      <w:r>
        <w:rPr>
          <w:rFonts w:ascii="Calibri" w:hAnsi="Calibri" w:eastAsia="Calibri"/>
          <w:b/>
          <w:color w:val="1F4E78"/>
          <w:sz w:val="22"/>
        </w:rPr>
        <w:t xml:space="preserve">— </w:t>
      </w:r>
      <w:r>
        <w:rPr>
          <w:rFonts w:ascii="Calibri" w:hAnsi="Calibri" w:eastAsia="Calibri"/>
          <w:color w:val="1F1F1F"/>
          <w:sz w:val="22"/>
        </w:rPr>
        <w:t>Использовать поле Содержание как дополнительное объяснение и доказательство.</w:t>
      </w:r>
    </w:p>
    <w:p>
      <w:pPr>
        <w:pStyle w:val="ContractList"/>
      </w:pPr>
      <w:r>
        <w:rPr>
          <w:rFonts w:ascii="Calibri" w:hAnsi="Calibri" w:eastAsia="Calibri"/>
          <w:b/>
          <w:color w:val="1F4E78"/>
          <w:sz w:val="22"/>
        </w:rPr>
        <w:t xml:space="preserve">— </w:t>
      </w:r>
      <w:r>
        <w:rPr>
          <w:rFonts w:ascii="Calibri" w:hAnsi="Calibri" w:eastAsia="Calibri"/>
          <w:color w:val="1F1F1F"/>
          <w:sz w:val="22"/>
        </w:rPr>
        <w:t>Сопоставить статью Инталев с реквизитом Статьи БДР и статьёй ERP внутри нужного блока.</w:t>
      </w:r>
    </w:p>
    <w:p>
      <w:pPr>
        <w:pStyle w:val="ContractList"/>
      </w:pPr>
      <w:r>
        <w:rPr>
          <w:rFonts w:ascii="Calibri" w:hAnsi="Calibri" w:eastAsia="Calibri"/>
          <w:b/>
          <w:color w:val="1F4E78"/>
          <w:sz w:val="22"/>
        </w:rPr>
        <w:t xml:space="preserve">— </w:t>
      </w:r>
      <w:r>
        <w:rPr>
          <w:rFonts w:ascii="Calibri" w:hAnsi="Calibri" w:eastAsia="Calibri"/>
          <w:color w:val="1F1F1F"/>
          <w:sz w:val="22"/>
        </w:rPr>
        <w:t>Запретить повторное использование одной физической строки в нескольких парах.</w:t>
      </w:r>
    </w:p>
    <w:p>
      <w:pPr>
        <w:pStyle w:val="Heading2"/>
        <w:keepNext/>
      </w:pPr>
      <w:r>
        <w:t>6.2. Уровни результата</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900"/>
        <w:gridCol w:w="4500"/>
        <w:gridCol w:w="2960"/>
      </w:tblGrid>
      <w:tr>
        <w:trPr>
          <w:tblHeader w:val="true"/>
          <w:cantSplit/>
        </w:trPr>
        <w:tc>
          <w:tcPr>
            <w:tcW w:type="dxa" w:w="1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Статус</w:t>
            </w:r>
          </w:p>
        </w:tc>
        <w:tc>
          <w:tcPr>
            <w:tcW w:type="dxa" w:w="4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Что означает</w:t>
            </w:r>
          </w:p>
        </w:tc>
        <w:tc>
          <w:tcPr>
            <w:tcW w:type="dxa" w:w="2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Действие</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Доказано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Единственная физическая пара; совпали ключевые реквизиты</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Можно готовить проект корректировки</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Предложено движком</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Есть сильная справочная/структурная связь, но физическая строка не доказана</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Показывать в реестре; проводку не создавать</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Неоднозначно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Несколько источников или целей</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Передать пользователю</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Не найдено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Нет второй стороны</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Диагностика или односторонний СПОРНО</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Запрещено</w:t>
            </w:r>
          </w:p>
        </w:tc>
        <w:tc>
          <w:tcPr>
            <w:tcW w:type="dxa" w:w="4500"/>
            <w:tcMar>
              <w:top w:w="80" w:type="dxa"/>
              <w:start w:w="120" w:type="dxa"/>
              <w:bottom w:w="80" w:type="dxa"/>
              <w:end w:w="120" w:type="dxa"/>
            </w:tcMar>
            <w:vAlign w:val="top"/>
          </w:tcPr>
          <w:p>
            <w:pPr>
              <w:spacing w:after="0"/>
            </w:pPr>
            <w:r>
              <w:rPr>
                <w:rFonts w:ascii="Calibri" w:hAnsi="Calibri" w:eastAsia="Calibri"/>
                <w:color w:val="1F1F1F"/>
                <w:sz w:val="18"/>
              </w:rPr>
              <w:t>Пользователь запретил связь</w:t>
            </w:r>
          </w:p>
        </w:tc>
        <w:tc>
          <w:tcPr>
            <w:tcW w:type="dxa" w:w="2960"/>
            <w:tcMar>
              <w:top w:w="80" w:type="dxa"/>
              <w:start w:w="120" w:type="dxa"/>
              <w:bottom w:w="80" w:type="dxa"/>
              <w:end w:w="120" w:type="dxa"/>
            </w:tcMar>
            <w:vAlign w:val="top"/>
          </w:tcPr>
          <w:p>
            <w:pPr>
              <w:spacing w:after="0"/>
            </w:pPr>
            <w:r>
              <w:rPr>
                <w:rFonts w:ascii="Calibri" w:hAnsi="Calibri" w:eastAsia="Calibri"/>
                <w:color w:val="1F1F1F"/>
                <w:sz w:val="18"/>
              </w:rPr>
              <w:t>Не применять в последующих запусках</w:t>
            </w:r>
          </w:p>
        </w:tc>
      </w:tr>
    </w:tbl>
    <w:p>
      <w:pPr>
        <w:pStyle w:val="Heading1"/>
        <w:keepNext/>
      </w:pPr>
      <w:r>
        <w:t>7. Правила статей и межгруппового пересорта</w:t>
      </w:r>
    </w:p>
    <w:p>
      <w:pPr/>
      <w:r>
        <w:rPr>
          <w:rFonts w:ascii="Calibri" w:hAnsi="Calibri" w:eastAsia="Calibri"/>
          <w:i w:val="0"/>
          <w:color w:val="1F1F1F"/>
          <w:sz w:val="22"/>
        </w:rPr>
        <w:t>Название статьи без блока недостаточно. Если в ERP выбрана одноимённая статья из неправильной группы, движок должен перенести операцию на одноимённую или утверждённую статью внутри фактического блока Инталев.</w:t>
      </w:r>
    </w:p>
    <w:tbl>
      <w:tblPr>
        <w:tblW w:type="dxa" w:w="9360"/>
        <w:jc w:val="left"/>
        <w:tblLayout w:type="fixed"/>
        <w:tblLook w:firstColumn="1" w:firstRow="1" w:lastColumn="0" w:lastRow="0" w:noHBand="0" w:noVBand="1" w:val="04A0"/>
        <w:tblInd w:w="12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eastAsia="Calibri"/>
                <w:b/>
                <w:color w:val="1F4E78"/>
                <w:sz w:val="22"/>
              </w:rPr>
              <w:t xml:space="preserve">Пример. </w:t>
            </w:r>
            <w:r>
              <w:rPr>
                <w:rFonts w:ascii="Calibri" w:hAnsi="Calibri" w:eastAsia="Calibri"/>
                <w:color w:val="1F1F1F"/>
                <w:sz w:val="22"/>
              </w:rPr>
              <w:t>Если физическая операция ФЗП находится в коммерческом блоке Инталев, а в ERP отражена на ФЗП административного блока (например, со счётом 44), формируется СТОРНО с административной статьи и РЕПОСТ на ФЗП коммерческого блока.</w:t>
            </w:r>
          </w:p>
        </w:tc>
      </w:tr>
    </w:tbl>
    <w:p>
      <w:pPr>
        <w:spacing w:after="0"/>
      </w:pPr>
    </w:p>
    <w:p>
      <w:pPr>
        <w:pStyle w:val="ContractList"/>
      </w:pPr>
      <w:r>
        <w:rPr>
          <w:rFonts w:ascii="Calibri" w:hAnsi="Calibri" w:eastAsia="Calibri"/>
          <w:b/>
          <w:color w:val="1F4E78"/>
          <w:sz w:val="22"/>
        </w:rPr>
        <w:t xml:space="preserve">— </w:t>
      </w:r>
      <w:r>
        <w:rPr>
          <w:rFonts w:ascii="Calibri" w:hAnsi="Calibri" w:eastAsia="Calibri"/>
          <w:color w:val="1F1F1F"/>
          <w:sz w:val="22"/>
        </w:rPr>
        <w:t>Правило действует не только для ФЗП, но также для НДФЛ, налогов зарплатных, расходов ИТ, расходов на персонал, компенсаций, материальной помощи, рекламы и любых других статей.</w:t>
      </w:r>
    </w:p>
    <w:p>
      <w:pPr>
        <w:pStyle w:val="ContractList"/>
      </w:pPr>
      <w:r>
        <w:rPr>
          <w:rFonts w:ascii="Calibri" w:hAnsi="Calibri" w:eastAsia="Calibri"/>
          <w:b/>
          <w:color w:val="1F4E78"/>
          <w:sz w:val="22"/>
        </w:rPr>
        <w:t xml:space="preserve">— </w:t>
      </w:r>
      <w:r>
        <w:rPr>
          <w:rFonts w:ascii="Calibri" w:hAnsi="Calibri" w:eastAsia="Calibri"/>
          <w:color w:val="1F1F1F"/>
          <w:sz w:val="22"/>
        </w:rPr>
        <w:t>При внутригрупповом пересорте целевой блок остаётся тем же, меняется только статья внутри блока.</w:t>
      </w:r>
    </w:p>
    <w:p>
      <w:pPr>
        <w:pStyle w:val="ContractList"/>
      </w:pPr>
      <w:r>
        <w:rPr>
          <w:rFonts w:ascii="Calibri" w:hAnsi="Calibri" w:eastAsia="Calibri"/>
          <w:b/>
          <w:color w:val="1F4E78"/>
          <w:sz w:val="22"/>
        </w:rPr>
        <w:t xml:space="preserve">— </w:t>
      </w:r>
      <w:r>
        <w:rPr>
          <w:rFonts w:ascii="Calibri" w:hAnsi="Calibri" w:eastAsia="Calibri"/>
          <w:color w:val="1F1F1F"/>
          <w:sz w:val="22"/>
        </w:rPr>
        <w:t>При межгрупповом пересорте источник СТОРНО берётся из фактической строки ERP, а цель РЕПОСТ — из нужного блока по пути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Дата, организация, документ, сумма, валюта, Дт/Кт и аналитики при РЕПОСТ не изменяются; меняется только статья и её код.</w:t>
      </w:r>
    </w:p>
    <w:p>
      <w:pPr>
        <w:pStyle w:val="ContractList"/>
      </w:pPr>
      <w:r>
        <w:rPr>
          <w:rFonts w:ascii="Calibri" w:hAnsi="Calibri" w:eastAsia="Calibri"/>
          <w:b/>
          <w:color w:val="1F4E78"/>
          <w:sz w:val="22"/>
        </w:rPr>
        <w:t xml:space="preserve">— </w:t>
      </w:r>
      <w:r>
        <w:rPr>
          <w:rFonts w:ascii="Calibri" w:hAnsi="Calibri" w:eastAsia="Calibri"/>
          <w:color w:val="1F1F1F"/>
          <w:sz w:val="22"/>
        </w:rPr>
        <w:t>Составные зарплатные пары могут собираться из нескольких компонентов, но каждая физическая строка используется один раз.</w:t>
      </w:r>
    </w:p>
    <w:p>
      <w:pPr>
        <w:pStyle w:val="Heading1"/>
        <w:keepNext/>
      </w:pPr>
      <w:r>
        <w:t>8. Корректировочные файлы</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1900"/>
        <w:gridCol w:w="2000"/>
        <w:gridCol w:w="5460"/>
      </w:tblGrid>
      <w:tr>
        <w:trPr>
          <w:tblHeader w:val="true"/>
          <w:cantSplit/>
        </w:trPr>
        <w:tc>
          <w:tcPr>
            <w:tcW w:type="dxa" w:w="1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Тип</w:t>
            </w:r>
          </w:p>
        </w:tc>
        <w:tc>
          <w:tcPr>
            <w:tcW w:type="dxa" w:w="2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Файл</w:t>
            </w:r>
          </w:p>
        </w:tc>
        <w:tc>
          <w:tcPr>
            <w:tcW w:type="dxa" w:w="54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Когда создаётся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Парные</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СТОРНО + РЕПОСТ</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Доказанная ошибочная статья и однозначная целевая статья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Односторонние</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СПОРНО</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Доказана только одна сторона; требуется проверка пользователя</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color w:val="1F1F1F"/>
                <w:sz w:val="18"/>
              </w:rPr>
              <w:t>Удаление МСФО</w:t>
            </w:r>
          </w:p>
        </w:tc>
        <w:tc>
          <w:tcPr>
            <w:tcW w:type="dxa" w:w="2000"/>
            <w:tcMar>
              <w:top w:w="80" w:type="dxa"/>
              <w:start w:w="120" w:type="dxa"/>
              <w:bottom w:w="80" w:type="dxa"/>
              <w:end w:w="120" w:type="dxa"/>
            </w:tcMar>
            <w:vAlign w:val="top"/>
          </w:tcPr>
          <w:p>
            <w:pPr>
              <w:spacing w:after="0"/>
            </w:pPr>
            <w:r>
              <w:rPr>
                <w:rFonts w:ascii="Calibri" w:hAnsi="Calibri" w:eastAsia="Calibri"/>
                <w:color w:val="1F1F1F"/>
                <w:sz w:val="18"/>
              </w:rPr>
              <w:t>Реестр удаляемых операций/строк</w:t>
            </w:r>
          </w:p>
        </w:tc>
        <w:tc>
          <w:tcPr>
            <w:tcW w:type="dxa" w:w="5460"/>
            <w:tcMar>
              <w:top w:w="80" w:type="dxa"/>
              <w:start w:w="120" w:type="dxa"/>
              <w:bottom w:w="80" w:type="dxa"/>
              <w:end w:w="120" w:type="dxa"/>
            </w:tcMar>
            <w:vAlign w:val="top"/>
          </w:tcPr>
          <w:p>
            <w:pPr>
              <w:spacing w:after="0"/>
            </w:pPr>
            <w:r>
              <w:rPr>
                <w:rFonts w:ascii="Calibri" w:hAnsi="Calibri" w:eastAsia="Calibri"/>
                <w:color w:val="1F1F1F"/>
                <w:sz w:val="18"/>
              </w:rPr>
              <w:t>Только при доказанном основании; не выполняется автоматически</w:t>
            </w:r>
          </w:p>
        </w:tc>
      </w:tr>
    </w:tbl>
    <w:p>
      <w:pPr>
        <w:pStyle w:val="Heading2"/>
        <w:keepNext/>
      </w:pPr>
      <w:r>
        <w:t>8.1. Понятное поле Содержание</w:t>
      </w:r>
    </w:p>
    <w:p>
      <w:pPr/>
      <w:r>
        <w:rPr>
          <w:rFonts w:ascii="Calibri" w:hAnsi="Calibri" w:eastAsia="Calibri"/>
          <w:i w:val="0"/>
          <w:color w:val="1F1F1F"/>
          <w:sz w:val="22"/>
        </w:rPr>
        <w:t>В каждой выгрузочной строке поле Содержание должно отвечать пользователю на вопросы «что меняется», «почему», «откуда взята сумма» и «где доказательство». Порядок текста:</w:t>
      </w:r>
    </w:p>
    <w:p>
      <w:pPr>
        <w:pStyle w:val="ContractList"/>
      </w:pPr>
      <w:r>
        <w:rPr>
          <w:rFonts w:ascii="Calibri" w:hAnsi="Calibri" w:eastAsia="Calibri"/>
          <w:b/>
          <w:color w:val="1F4E78"/>
          <w:sz w:val="22"/>
        </w:rPr>
        <w:t xml:space="preserve">— </w:t>
      </w:r>
      <w:r>
        <w:rPr>
          <w:rFonts w:ascii="Calibri" w:hAnsi="Calibri" w:eastAsia="Calibri"/>
          <w:color w:val="1F1F1F"/>
          <w:sz w:val="22"/>
        </w:rPr>
        <w:t>действие и сумма;</w:t>
      </w:r>
    </w:p>
    <w:p>
      <w:pPr>
        <w:pStyle w:val="ContractList"/>
      </w:pPr>
      <w:r>
        <w:rPr>
          <w:rFonts w:ascii="Calibri" w:hAnsi="Calibri" w:eastAsia="Calibri"/>
          <w:b/>
          <w:color w:val="1F4E78"/>
          <w:sz w:val="22"/>
        </w:rPr>
        <w:t xml:space="preserve">— </w:t>
      </w:r>
      <w:r>
        <w:rPr>
          <w:rFonts w:ascii="Calibri" w:hAnsi="Calibri" w:eastAsia="Calibri"/>
          <w:color w:val="1F1F1F"/>
          <w:sz w:val="22"/>
        </w:rPr>
        <w:t>ошибочная и правильная статья/блок;</w:t>
      </w:r>
    </w:p>
    <w:p>
      <w:pPr>
        <w:pStyle w:val="ContractList"/>
      </w:pPr>
      <w:r>
        <w:rPr>
          <w:rFonts w:ascii="Calibri" w:hAnsi="Calibri" w:eastAsia="Calibri"/>
          <w:b/>
          <w:color w:val="1F4E78"/>
          <w:sz w:val="22"/>
        </w:rPr>
        <w:t xml:space="preserve">— </w:t>
      </w:r>
      <w:r>
        <w:rPr>
          <w:rFonts w:ascii="Calibri" w:hAnsi="Calibri" w:eastAsia="Calibri"/>
          <w:color w:val="1F1F1F"/>
          <w:sz w:val="22"/>
        </w:rPr>
        <w:t>причина переклассификации;</w:t>
      </w:r>
    </w:p>
    <w:p>
      <w:pPr>
        <w:pStyle w:val="ContractList"/>
      </w:pPr>
      <w:r>
        <w:rPr>
          <w:rFonts w:ascii="Calibri" w:hAnsi="Calibri" w:eastAsia="Calibri"/>
          <w:b/>
          <w:color w:val="1F4E78"/>
          <w:sz w:val="22"/>
        </w:rPr>
        <w:t xml:space="preserve">— </w:t>
      </w:r>
      <w:r>
        <w:rPr>
          <w:rFonts w:ascii="Calibri" w:hAnsi="Calibri" w:eastAsia="Calibri"/>
          <w:color w:val="1F1F1F"/>
          <w:sz w:val="22"/>
        </w:rPr>
        <w:t>источник Инталев: полный путь, строка/ячейка, сумма;</w:t>
      </w:r>
    </w:p>
    <w:p>
      <w:pPr>
        <w:pStyle w:val="ContractList"/>
      </w:pPr>
      <w:r>
        <w:rPr>
          <w:rFonts w:ascii="Calibri" w:hAnsi="Calibri" w:eastAsia="Calibri"/>
          <w:b/>
          <w:color w:val="1F4E78"/>
          <w:sz w:val="22"/>
        </w:rPr>
        <w:t xml:space="preserve">— </w:t>
      </w:r>
      <w:r>
        <w:rPr>
          <w:rFonts w:ascii="Calibri" w:hAnsi="Calibri" w:eastAsia="Calibri"/>
          <w:color w:val="1F1F1F"/>
          <w:sz w:val="22"/>
        </w:rPr>
        <w:t>источник ERP: документ, номер проводки, физическая строка журнала;</w:t>
      </w:r>
    </w:p>
    <w:p>
      <w:pPr>
        <w:pStyle w:val="ContractList"/>
      </w:pPr>
      <w:r>
        <w:rPr>
          <w:rFonts w:ascii="Calibri" w:hAnsi="Calibri" w:eastAsia="Calibri"/>
          <w:b/>
          <w:color w:val="1F4E78"/>
          <w:sz w:val="22"/>
        </w:rPr>
        <w:t xml:space="preserve">— </w:t>
      </w:r>
      <w:r>
        <w:rPr>
          <w:rFonts w:ascii="Calibri" w:hAnsi="Calibri" w:eastAsia="Calibri"/>
          <w:color w:val="1F1F1F"/>
          <w:sz w:val="22"/>
        </w:rPr>
        <w:t>ключевые аналитики;</w:t>
      </w:r>
    </w:p>
    <w:p>
      <w:pPr>
        <w:pStyle w:val="ContractList"/>
      </w:pPr>
      <w:r>
        <w:rPr>
          <w:rFonts w:ascii="Calibri" w:hAnsi="Calibri" w:eastAsia="Calibri"/>
          <w:b/>
          <w:color w:val="1F4E78"/>
          <w:sz w:val="22"/>
        </w:rPr>
        <w:t xml:space="preserve">— </w:t>
      </w:r>
      <w:r>
        <w:rPr>
          <w:rFonts w:ascii="Calibri" w:hAnsi="Calibri" w:eastAsia="Calibri"/>
          <w:color w:val="1F1F1F"/>
          <w:sz w:val="22"/>
        </w:rPr>
        <w:t>технические идентификаторы и SHA-256 — в конце.</w:t>
      </w:r>
    </w:p>
    <w:p>
      <w:pPr>
        <w:pStyle w:val="Heading1"/>
        <w:keepNext/>
      </w:pPr>
      <w:r>
        <w:t>9. Реестр соответствий и утверждение пользователем</w:t>
      </w:r>
    </w:p>
    <w:p>
      <w:pPr/>
      <w:r>
        <w:rPr>
          <w:rFonts w:ascii="Calibri" w:hAnsi="Calibri" w:eastAsia="Calibri"/>
          <w:i w:val="0"/>
          <w:color w:val="1F1F1F"/>
          <w:sz w:val="22"/>
        </w:rPr>
        <w:t>Движок обязан максимально заполнить реестр сам. Пользователь не начинает с пустой таблицы и рассматривает прежде всего то, что движок не смог определить однозначно.</w:t>
      </w:r>
    </w:p>
    <w:p>
      <w:pPr>
        <w:pStyle w:val="Heading2"/>
        <w:keepNext/>
      </w:pPr>
      <w:r>
        <w:t>9.1. Чем движок заполняет догадки</w:t>
      </w:r>
    </w:p>
    <w:p>
      <w:pPr>
        <w:pStyle w:val="ContractList"/>
      </w:pPr>
      <w:r>
        <w:rPr>
          <w:rFonts w:ascii="Calibri" w:hAnsi="Calibri" w:eastAsia="Calibri"/>
          <w:b/>
          <w:color w:val="1F4E78"/>
          <w:sz w:val="22"/>
        </w:rPr>
        <w:t xml:space="preserve">— </w:t>
      </w:r>
      <w:r>
        <w:rPr>
          <w:rFonts w:ascii="Calibri" w:hAnsi="Calibri" w:eastAsia="Calibri"/>
          <w:color w:val="1F1F1F"/>
          <w:sz w:val="22"/>
        </w:rPr>
        <w:t>явный реквизит Инталев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точное нормализованное название статьи;</w:t>
      </w:r>
    </w:p>
    <w:p>
      <w:pPr>
        <w:pStyle w:val="ContractList"/>
      </w:pPr>
      <w:r>
        <w:rPr>
          <w:rFonts w:ascii="Calibri" w:hAnsi="Calibri" w:eastAsia="Calibri"/>
          <w:b/>
          <w:color w:val="1F4E78"/>
          <w:sz w:val="22"/>
        </w:rPr>
        <w:t xml:space="preserve">— </w:t>
      </w:r>
      <w:r>
        <w:rPr>
          <w:rFonts w:ascii="Calibri" w:hAnsi="Calibri" w:eastAsia="Calibri"/>
          <w:color w:val="1F1F1F"/>
          <w:sz w:val="22"/>
        </w:rPr>
        <w:t>фактический блок и полный путь Инталев;</w:t>
      </w:r>
    </w:p>
    <w:p>
      <w:pPr>
        <w:pStyle w:val="ContractList"/>
      </w:pPr>
      <w:r>
        <w:rPr>
          <w:rFonts w:ascii="Calibri" w:hAnsi="Calibri" w:eastAsia="Calibri"/>
          <w:b/>
          <w:color w:val="1F4E78"/>
          <w:sz w:val="22"/>
        </w:rPr>
        <w:t xml:space="preserve">— </w:t>
      </w:r>
      <w:r>
        <w:rPr>
          <w:rFonts w:ascii="Calibri" w:hAnsi="Calibri" w:eastAsia="Calibri"/>
          <w:color w:val="1F1F1F"/>
          <w:sz w:val="22"/>
        </w:rPr>
        <w:t>счёт доходов/расходов и счёт расчётов;</w:t>
      </w:r>
    </w:p>
    <w:p>
      <w:pPr>
        <w:pStyle w:val="ContractList"/>
      </w:pPr>
      <w:r>
        <w:rPr>
          <w:rFonts w:ascii="Calibri" w:hAnsi="Calibri" w:eastAsia="Calibri"/>
          <w:b/>
          <w:color w:val="1F4E78"/>
          <w:sz w:val="22"/>
        </w:rPr>
        <w:t xml:space="preserve">— </w:t>
      </w:r>
      <w:r>
        <w:rPr>
          <w:rFonts w:ascii="Calibri" w:hAnsi="Calibri" w:eastAsia="Calibri"/>
          <w:color w:val="1F1F1F"/>
          <w:sz w:val="22"/>
        </w:rPr>
        <w:t>код и блок статьи ERP;</w:t>
      </w:r>
    </w:p>
    <w:p>
      <w:pPr>
        <w:pStyle w:val="ContractList"/>
      </w:pPr>
      <w:r>
        <w:rPr>
          <w:rFonts w:ascii="Calibri" w:hAnsi="Calibri" w:eastAsia="Calibri"/>
          <w:b/>
          <w:color w:val="1F4E78"/>
          <w:sz w:val="22"/>
        </w:rPr>
        <w:t xml:space="preserve">— </w:t>
      </w:r>
      <w:r>
        <w:rPr>
          <w:rFonts w:ascii="Calibri" w:hAnsi="Calibri" w:eastAsia="Calibri"/>
          <w:color w:val="1F1F1F"/>
          <w:sz w:val="22"/>
        </w:rPr>
        <w:t>доказанные примеры журналов;</w:t>
      </w:r>
    </w:p>
    <w:p>
      <w:pPr>
        <w:pStyle w:val="ContractList"/>
      </w:pPr>
      <w:r>
        <w:rPr>
          <w:rFonts w:ascii="Calibri" w:hAnsi="Calibri" w:eastAsia="Calibri"/>
          <w:b/>
          <w:color w:val="1F4E78"/>
          <w:sz w:val="22"/>
        </w:rPr>
        <w:t xml:space="preserve">— </w:t>
      </w:r>
      <w:r>
        <w:rPr>
          <w:rFonts w:ascii="Calibri" w:hAnsi="Calibri" w:eastAsia="Calibri"/>
          <w:color w:val="1F1F1F"/>
          <w:sz w:val="22"/>
        </w:rPr>
        <w:t>содержание и аналитики операций;</w:t>
      </w:r>
    </w:p>
    <w:p>
      <w:pPr>
        <w:pStyle w:val="ContractList"/>
      </w:pPr>
      <w:r>
        <w:rPr>
          <w:rFonts w:ascii="Calibri" w:hAnsi="Calibri" w:eastAsia="Calibri"/>
          <w:b/>
          <w:color w:val="1F4E78"/>
          <w:sz w:val="22"/>
        </w:rPr>
        <w:t xml:space="preserve">— </w:t>
      </w:r>
      <w:r>
        <w:rPr>
          <w:rFonts w:ascii="Calibri" w:hAnsi="Calibri" w:eastAsia="Calibri"/>
          <w:color w:val="1F1F1F"/>
          <w:sz w:val="22"/>
        </w:rPr>
        <w:t>исторически утверждённые правила той же организации и периода действия.</w:t>
      </w:r>
    </w:p>
    <w:p>
      <w:pPr>
        <w:pStyle w:val="Heading2"/>
        <w:keepNext/>
      </w:pPr>
      <w:r>
        <w:t>9.2. Решения пользователя</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3000"/>
        <w:gridCol w:w="6360"/>
      </w:tblGrid>
      <w:tr>
        <w:trPr>
          <w:tblHeader w:val="true"/>
          <w:cantSplit/>
        </w:trPr>
        <w:tc>
          <w:tcPr>
            <w:tcW w:type="dxa" w:w="30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Решение</w:t>
            </w:r>
          </w:p>
        </w:tc>
        <w:tc>
          <w:tcPr>
            <w:tcW w:type="dxa" w:w="63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Что происходит</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ПРЕДЛОЖЕНО ДВИЖКОМ</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Оставить кандидатом для поиска; не считать окончательным правилом</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УТВЕРЖДАЮ</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Зафиксировать соответствие статьи и блока</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ИЗМЕНИТЬ</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Указать правильный блок, статью, код и комментарий</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ЗАПРЕТИТЬ</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Никогда не применять это соответствие в указанной области</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color w:val="1F1F1F"/>
                <w:sz w:val="18"/>
              </w:rPr>
              <w:t>НУЖНА ПРОВЕРКА</w:t>
            </w:r>
          </w:p>
        </w:tc>
        <w:tc>
          <w:tcPr>
            <w:tcW w:type="dxa" w:w="6360"/>
            <w:tcMar>
              <w:top w:w="80" w:type="dxa"/>
              <w:start w:w="120" w:type="dxa"/>
              <w:bottom w:w="80" w:type="dxa"/>
              <w:end w:w="120" w:type="dxa"/>
            </w:tcMar>
            <w:vAlign w:val="top"/>
          </w:tcPr>
          <w:p>
            <w:pPr>
              <w:spacing w:after="0"/>
            </w:pPr>
            <w:r>
              <w:rPr>
                <w:rFonts w:ascii="Calibri" w:hAnsi="Calibri" w:eastAsia="Calibri"/>
                <w:color w:val="1F1F1F"/>
                <w:sz w:val="18"/>
              </w:rPr>
              <w:t>Решение отложено; автоматическая корректировка запрещена</w:t>
            </w:r>
          </w:p>
        </w:tc>
      </w:tr>
    </w:tbl>
    <w:p>
      <w:pPr>
        <w:pStyle w:val="Heading2"/>
        <w:keepNext/>
      </w:pPr>
      <w:r>
        <w:t>9.3. Область и версия правила</w:t>
      </w:r>
    </w:p>
    <w:p>
      <w:pPr>
        <w:pStyle w:val="ContractList"/>
      </w:pPr>
      <w:r>
        <w:rPr>
          <w:rFonts w:ascii="Calibri" w:hAnsi="Calibri" w:eastAsia="Calibri"/>
          <w:b/>
          <w:color w:val="1F4E78"/>
          <w:sz w:val="22"/>
        </w:rPr>
        <w:t xml:space="preserve">— </w:t>
      </w:r>
      <w:r>
        <w:rPr>
          <w:rFonts w:ascii="Calibri" w:hAnsi="Calibri" w:eastAsia="Calibri"/>
          <w:color w:val="1F1F1F"/>
          <w:sz w:val="22"/>
        </w:rPr>
        <w:t>Правило фиксируется минимум по организации, блоку Инталев, статье Инталев, статье/коду ERP и дате начала действия.</w:t>
      </w:r>
    </w:p>
    <w:p>
      <w:pPr>
        <w:pStyle w:val="ContractList"/>
      </w:pPr>
      <w:r>
        <w:rPr>
          <w:rFonts w:ascii="Calibri" w:hAnsi="Calibri" w:eastAsia="Calibri"/>
          <w:b/>
          <w:color w:val="1F4E78"/>
          <w:sz w:val="22"/>
        </w:rPr>
        <w:t xml:space="preserve">— </w:t>
      </w:r>
      <w:r>
        <w:rPr>
          <w:rFonts w:ascii="Calibri" w:hAnsi="Calibri" w:eastAsia="Calibri"/>
          <w:color w:val="1F1F1F"/>
          <w:sz w:val="22"/>
        </w:rPr>
        <w:t>Одинаковое название в другой группе не наследует правило автоматически.</w:t>
      </w:r>
    </w:p>
    <w:p>
      <w:pPr>
        <w:pStyle w:val="ContractList"/>
      </w:pPr>
      <w:r>
        <w:rPr>
          <w:rFonts w:ascii="Calibri" w:hAnsi="Calibri" w:eastAsia="Calibri"/>
          <w:b/>
          <w:color w:val="1F4E78"/>
          <w:sz w:val="22"/>
        </w:rPr>
        <w:t xml:space="preserve">— </w:t>
      </w:r>
      <w:r>
        <w:rPr>
          <w:rFonts w:ascii="Calibri" w:hAnsi="Calibri" w:eastAsia="Calibri"/>
          <w:color w:val="1F1F1F"/>
          <w:sz w:val="22"/>
        </w:rPr>
        <w:t>Изменение правила создаёт новую версию; предыдущая версия остаётся в истории.</w:t>
      </w:r>
    </w:p>
    <w:p>
      <w:pPr>
        <w:pStyle w:val="ContractList"/>
      </w:pPr>
      <w:r>
        <w:rPr>
          <w:rFonts w:ascii="Calibri" w:hAnsi="Calibri" w:eastAsia="Calibri"/>
          <w:b/>
          <w:color w:val="1F4E78"/>
          <w:sz w:val="22"/>
        </w:rPr>
        <w:t xml:space="preserve">— </w:t>
      </w:r>
      <w:r>
        <w:rPr>
          <w:rFonts w:ascii="Calibri" w:hAnsi="Calibri" w:eastAsia="Calibri"/>
          <w:color w:val="1F1F1F"/>
          <w:sz w:val="22"/>
        </w:rPr>
        <w:t>Фиксируются пользователь, дата, исходный файл, комментарий и контрольная сумма.</w:t>
      </w:r>
    </w:p>
    <w:p>
      <w:pPr>
        <w:pStyle w:val="ContractList"/>
      </w:pPr>
      <w:r>
        <w:rPr>
          <w:rFonts w:ascii="Calibri" w:hAnsi="Calibri" w:eastAsia="Calibri"/>
          <w:b/>
          <w:color w:val="1F4E78"/>
          <w:sz w:val="22"/>
        </w:rPr>
        <w:t xml:space="preserve">— </w:t>
      </w:r>
      <w:r>
        <w:rPr>
          <w:rFonts w:ascii="Calibri" w:hAnsi="Calibri" w:eastAsia="Calibri"/>
          <w:color w:val="1F1F1F"/>
          <w:sz w:val="22"/>
        </w:rPr>
        <w:t>Утверждение соответствия подтверждает направление поиска, но не подменяет сумму и физическую строку конкретной проводки.</w:t>
      </w:r>
    </w:p>
    <w:p>
      <w:pPr>
        <w:pStyle w:val="Heading2"/>
        <w:keepNext/>
      </w:pPr>
      <w:r>
        <w:t>9.4. Приоритет следующего запуска</w:t>
      </w:r>
    </w:p>
    <w:p>
      <w:pPr>
        <w:pStyle w:val="ContractList"/>
      </w:pPr>
      <w:r>
        <w:rPr>
          <w:rFonts w:ascii="Calibri" w:hAnsi="Calibri" w:eastAsia="Calibri"/>
          <w:b/>
          <w:color w:val="1F4E78"/>
          <w:sz w:val="22"/>
        </w:rPr>
        <w:t xml:space="preserve">— </w:t>
      </w:r>
      <w:r>
        <w:rPr>
          <w:rFonts w:ascii="Calibri" w:hAnsi="Calibri" w:eastAsia="Calibri"/>
          <w:color w:val="1F1F1F"/>
          <w:sz w:val="22"/>
        </w:rPr>
        <w:t>утверждённое соответствие точной организации и периода действия;</w:t>
      </w:r>
    </w:p>
    <w:p>
      <w:pPr>
        <w:pStyle w:val="ContractList"/>
      </w:pPr>
      <w:r>
        <w:rPr>
          <w:rFonts w:ascii="Calibri" w:hAnsi="Calibri" w:eastAsia="Calibri"/>
          <w:b/>
          <w:color w:val="1F4E78"/>
          <w:sz w:val="22"/>
        </w:rPr>
        <w:t xml:space="preserve">— </w:t>
      </w:r>
      <w:r>
        <w:rPr>
          <w:rFonts w:ascii="Calibri" w:hAnsi="Calibri" w:eastAsia="Calibri"/>
          <w:color w:val="1F1F1F"/>
          <w:sz w:val="22"/>
        </w:rPr>
        <w:t>уникальная физическая связь журналов;</w:t>
      </w:r>
    </w:p>
    <w:p>
      <w:pPr>
        <w:pStyle w:val="ContractList"/>
      </w:pPr>
      <w:r>
        <w:rPr>
          <w:rFonts w:ascii="Calibri" w:hAnsi="Calibri" w:eastAsia="Calibri"/>
          <w:b/>
          <w:color w:val="1F4E78"/>
          <w:sz w:val="22"/>
        </w:rPr>
        <w:t xml:space="preserve">— </w:t>
      </w:r>
      <w:r>
        <w:rPr>
          <w:rFonts w:ascii="Calibri" w:hAnsi="Calibri" w:eastAsia="Calibri"/>
          <w:color w:val="1F1F1F"/>
          <w:sz w:val="22"/>
        </w:rPr>
        <w:t>реквизит Статьи БДР;</w:t>
      </w:r>
    </w:p>
    <w:p>
      <w:pPr>
        <w:pStyle w:val="ContractList"/>
      </w:pPr>
      <w:r>
        <w:rPr>
          <w:rFonts w:ascii="Calibri" w:hAnsi="Calibri" w:eastAsia="Calibri"/>
          <w:b/>
          <w:color w:val="1F4E78"/>
          <w:sz w:val="22"/>
        </w:rPr>
        <w:t xml:space="preserve">— </w:t>
      </w:r>
      <w:r>
        <w:rPr>
          <w:rFonts w:ascii="Calibri" w:hAnsi="Calibri" w:eastAsia="Calibri"/>
          <w:color w:val="1F1F1F"/>
          <w:sz w:val="22"/>
        </w:rPr>
        <w:t>автоматическая догадка движка;</w:t>
      </w:r>
    </w:p>
    <w:p>
      <w:pPr>
        <w:pStyle w:val="ContractList"/>
      </w:pPr>
      <w:r>
        <w:rPr>
          <w:rFonts w:ascii="Calibri" w:hAnsi="Calibri" w:eastAsia="Calibri"/>
          <w:b/>
          <w:color w:val="1F4E78"/>
          <w:sz w:val="22"/>
        </w:rPr>
        <w:t xml:space="preserve">— </w:t>
      </w:r>
      <w:r>
        <w:rPr>
          <w:rFonts w:ascii="Calibri" w:hAnsi="Calibri" w:eastAsia="Calibri"/>
          <w:color w:val="1F1F1F"/>
          <w:sz w:val="22"/>
        </w:rPr>
        <w:t>ручная проверка.</w:t>
      </w:r>
    </w:p>
    <w:p>
      <w:pPr>
        <w:pStyle w:val="Heading2"/>
      </w:pPr>
      <w:r>
        <w:t>9.5. Лист 01_Правила и фиксация утверждений</w:t>
      </w:r>
    </w:p>
    <w:p>
      <w:pPr/>
      <w:r>
        <w:t>Движок формирует реестр заранее заполненным. Количество строк НУЖНА ПРОВЕРКА определяется фактическими данными запуска и не фиксируется заранее.</w:t>
      </w:r>
    </w:p>
    <w:p>
      <w:pPr>
        <w:pStyle w:val="ContractList"/>
      </w:pPr>
      <w:r>
        <w:t>— Лист 01_Правила содержит статью, блок и полный путь Инталев; счета; предлагаемые блок, статью и код ERP; действие; основание выбора; уверенность; примеры физических проводок; решение пользователя; комментарий и дату начала действия.</w:t>
      </w:r>
    </w:p>
    <w:p>
      <w:pPr>
        <w:pStyle w:val="ContractList"/>
      </w:pPr>
      <w:r>
        <w:t>— Пользователь в первую очередь фильтрует решение НУЖНА ПРОВЕРКА. Однозначные предложения можно утвердить массово только явной кнопкой Утвердить все однозначные; скрытое автоматическое утверждение запрещено.</w:t>
      </w:r>
    </w:p>
    <w:p>
      <w:pPr>
        <w:pStyle w:val="ContractList"/>
      </w:pPr>
      <w:r>
        <w:t>— Допустимы ровно пять решений: УТВЕРЖДАЮ, ИЗМЕНИТЬ, ЗАПРЕТИТЬ, НУЖНА ПРОВЕРКА и ПРЕДЛОЖЕНО ДВИЖКОМ.</w:t>
      </w:r>
    </w:p>
    <w:p>
      <w:pPr>
        <w:pStyle w:val="ContractList"/>
      </w:pPr>
      <w:r>
        <w:t>— Для решения ИЗМЕНИТЬ обязательны правильный блок ERP, правильная статья ERP, код статьи ERP и комментарий пользователя.</w:t>
      </w:r>
    </w:p>
    <w:p>
      <w:pPr>
        <w:pStyle w:val="ContractList"/>
      </w:pPr>
      <w:r>
        <w:t>— Кнопка Зафиксировать утверждения проверяет отсутствие двух разных целей в одной области, существование кода ERP, принадлежность статьи выбранному блоку, заполненную организацию и корректную дату начала действия.</w:t>
      </w:r>
    </w:p>
    <w:p>
      <w:pPr>
        <w:pStyle w:val="ContractList"/>
      </w:pPr>
      <w:r>
        <w:t>— Ошибка проверки не создаёт частично утверждённую версию: пользователю показываются конкретные строки и причины, а предыдущая версия остаётся действующей.</w:t>
      </w:r>
    </w:p>
    <w:p>
      <w:pPr>
        <w:pStyle w:val="ContractList"/>
      </w:pPr>
      <w:r>
        <w:t>— Успешная фиксация атомарно создаёт файл user-settings/approvals/article_registry_&lt;organization_slug&gt;_vNNN.approved.json и отдельную SHA-256 контрольную сумму. Предыдущие версии не перезаписываются.</w:t>
      </w:r>
    </w:p>
    <w:p>
      <w:pPr>
        <w:pStyle w:val="ContractList"/>
      </w:pPr>
      <w:r>
        <w:t>— Approved-файл хранит пользователя, дату фиксации, организацию, период действия, исходный XLSX и его SHA-256, каждое решение, исходную и целевую статью/блок, комментарий, статус доказательства и версию схемы.</w:t>
      </w:r>
    </w:p>
    <w:p>
      <w:pPr>
        <w:pStyle w:val="ContractList"/>
      </w:pPr>
      <w:r>
        <w:t>— В следующем запуске approved-решение имеет приоритет только в совпадающей области организации и периода действия; решение ЗАПРЕТИТЬ блокирует соответствие, а НУЖНА ПРОВЕРКА и ПРЕДЛОЖЕНО ДВИЖКОМ не становятся утверждённым правилом.</w:t>
      </w:r>
    </w:p>
    <w:p>
      <w:pPr>
        <w:pStyle w:val="ContractList"/>
      </w:pPr>
      <w:r>
        <w:t>— Утверждение соответствия статьи не утверждает сумму и не заменяет физическую строку журнала ERP. Без доказанной строки может быть создано только предложение СПОРНО без готовой проводки.</w:t>
      </w:r>
    </w:p>
    <w:p>
      <w:pPr>
        <w:pStyle w:val="Heading2"/>
      </w:pPr>
      <w:r>
        <w:t>9.6. Точная схема и область действия утверждений</w:t>
      </w:r>
    </w:p>
    <w:p>
      <w:pPr>
        <w:pStyle w:val="ContractList"/>
      </w:pPr>
      <w:r>
        <w:t>— 01_Правила является листом того же XLSX-файла сверки, который сформирован текущим запуском. Обратная загрузка принимает только этот лист и проверяет SHA-256 исходной сверки.</w:t>
      </w:r>
    </w:p>
    <w:p>
      <w:pPr>
        <w:pStyle w:val="ContractList"/>
      </w:pPr>
      <w:r>
        <w:t>— Обязательные колонки листа: КлючОбласти, КодОрганизацииERP, ОрганизацияERP, ПериодС, БлокИнталев, ПутьИнталев, СтатьяИнталев, СчетДоходовРасходов, СчетРасчетов, ПредлагаемыйБлокERP, ПредлагаемаяСтатьяERP, КодСтатьиERP, Действие, ОснованиеВыбора, Уверенность, ПримерыПроводок, РешениеПользователя, ПравильныйБлокERP, ПравильнаяСтатьяERP, ПравильныйКодСтатьиERP и КомментарийПользователя.</w:t>
      </w:r>
    </w:p>
    <w:p>
      <w:pPr>
        <w:pStyle w:val="ContractList"/>
      </w:pPr>
      <w:r>
        <w:t>— Начальное РешениеПользователя для единственной валидной цели равно ПРЕДЛОЖЕНО ДВИЖКОМ. Для нескольких целей, конфликта, неизвестного кода или отсутствующей цели используется НУЖНА ПРОВЕРКА.</w:t>
      </w:r>
    </w:p>
    <w:p>
      <w:pPr>
        <w:pStyle w:val="ContractList"/>
      </w:pPr>
      <w:r>
        <w:t>— ПериодС хранится в формате ГГГГ-ММ и действует включительно. Для одного КлючаОбласти в одном месяце активна ровно одна approved-версия; новая версия с тем же ПериодС заменяет предыдущую только в применении, не удаляя её из истории.</w:t>
      </w:r>
    </w:p>
    <w:p>
      <w:pPr>
        <w:pStyle w:val="ContractList"/>
      </w:pPr>
      <w:r>
        <w:t>— Пользователь фиксируется как учётная запись Windows DOMAIN\username; отображаемое имя можно хранить дополнительно, но оно не заменяет системный идентификатор.</w:t>
      </w:r>
    </w:p>
    <w:p>
      <w:pPr>
        <w:pStyle w:val="ContractList"/>
      </w:pPr>
      <w:r>
        <w:t>— organization_slug строится детерминированно из кода верхнего уровня ERP и нормализованного латиницей наименования, например 3_sakhalin. При отсутствии кода фиксация блокируется.</w:t>
      </w:r>
    </w:p>
    <w:p>
      <w:pPr>
        <w:pStyle w:val="ContractList"/>
      </w:pPr>
      <w:r>
        <w:t>— Однозначной для массового утверждения считается только строка с одной существующей ERP-статьёй в выбранном блоке, без альтернативной цели, конфликта области и ошибок обязательных полей. Массовое действие не меняет НУЖНА ПРОВЕРКА и не разрешает финансовую проводку.</w:t>
      </w:r>
    </w:p>
    <w:p>
      <w:pPr>
        <w:pStyle w:val="ContractList"/>
      </w:pPr>
      <w:r>
        <w:t>— При загрузке approved-файла проверяются версия схемы, SHA-256, организация и период действия. Повреждённая или чужая версия отклоняется с диагностикой; движок использует последнюю предыдущую валидную версию, если она существует.</w:t>
      </w:r>
    </w:p>
    <w:p>
      <w:pPr>
        <w:pStyle w:val="Heading1"/>
        <w:keepNext/>
      </w:pPr>
      <w:r>
        <w:t>10. Группы с нулевой дельтой</w:t>
      </w:r>
    </w:p>
    <w:p>
      <w:pPr>
        <w:pStyle w:val="ContractList"/>
      </w:pPr>
      <w:r>
        <w:rPr>
          <w:rFonts w:ascii="Calibri" w:hAnsi="Calibri" w:eastAsia="Calibri"/>
          <w:b/>
          <w:color w:val="1F4E78"/>
          <w:sz w:val="22"/>
        </w:rPr>
        <w:t xml:space="preserve">— </w:t>
      </w:r>
      <w:r>
        <w:rPr>
          <w:rFonts w:ascii="Calibri" w:hAnsi="Calibri" w:eastAsia="Calibri"/>
          <w:color w:val="1F1F1F"/>
          <w:sz w:val="22"/>
        </w:rPr>
        <w:t>Интерфейс показывает только фактические верхнеуровневые блоки расходов, а не служебные итоги и отдельные статьи.</w:t>
      </w:r>
    </w:p>
    <w:p>
      <w:pPr>
        <w:pStyle w:val="ContractList"/>
      </w:pPr>
      <w:r>
        <w:rPr>
          <w:rFonts w:ascii="Calibri" w:hAnsi="Calibri" w:eastAsia="Calibri"/>
          <w:b/>
          <w:color w:val="1F4E78"/>
          <w:sz w:val="22"/>
        </w:rPr>
        <w:t xml:space="preserve">— </w:t>
      </w:r>
      <w:r>
        <w:rPr>
          <w:rFonts w:ascii="Calibri" w:hAnsi="Calibri" w:eastAsia="Calibri"/>
          <w:color w:val="1F1F1F"/>
          <w:sz w:val="22"/>
        </w:rPr>
        <w:t>Слева пользователь выбирает блоки Инталев, справа — отдельные блоки ERP; структуры не объединяются.</w:t>
      </w:r>
    </w:p>
    <w:p>
      <w:pPr>
        <w:pStyle w:val="ContractList"/>
      </w:pPr>
      <w:r>
        <w:rPr>
          <w:rFonts w:ascii="Calibri" w:hAnsi="Calibri" w:eastAsia="Calibri"/>
          <w:b/>
          <w:color w:val="1F4E78"/>
          <w:sz w:val="22"/>
        </w:rPr>
        <w:t xml:space="preserve">— </w:t>
      </w:r>
      <w:r>
        <w:rPr>
          <w:rFonts w:ascii="Calibri" w:hAnsi="Calibri" w:eastAsia="Calibri"/>
          <w:color w:val="1F1F1F"/>
          <w:sz w:val="22"/>
        </w:rPr>
        <w:t>Контроль: сумма выбранных блоков Инталев минус сумма выбранных блоков ERP должна равняться нулю.</w:t>
      </w:r>
    </w:p>
    <w:p>
      <w:pPr>
        <w:pStyle w:val="ContractList"/>
      </w:pPr>
      <w:r>
        <w:rPr>
          <w:rFonts w:ascii="Calibri" w:hAnsi="Calibri" w:eastAsia="Calibri"/>
          <w:b/>
          <w:color w:val="1F4E78"/>
          <w:sz w:val="22"/>
        </w:rPr>
        <w:t xml:space="preserve">— </w:t>
      </w:r>
      <w:r>
        <w:rPr>
          <w:rFonts w:ascii="Calibri" w:hAnsi="Calibri" w:eastAsia="Calibri"/>
          <w:color w:val="1F1F1F"/>
          <w:sz w:val="22"/>
        </w:rPr>
        <w:t>Только после нулевого контроля группа может быть сохранена и исключена из межгруппового пересорта.</w:t>
      </w:r>
    </w:p>
    <w:p>
      <w:pPr>
        <w:pStyle w:val="ContractList"/>
      </w:pPr>
      <w:r>
        <w:rPr>
          <w:rFonts w:ascii="Calibri" w:hAnsi="Calibri" w:eastAsia="Calibri"/>
          <w:b/>
          <w:color w:val="1F4E78"/>
          <w:sz w:val="22"/>
        </w:rPr>
        <w:t xml:space="preserve">— </w:t>
      </w:r>
      <w:r>
        <w:rPr>
          <w:rFonts w:ascii="Calibri" w:hAnsi="Calibri" w:eastAsia="Calibri"/>
          <w:color w:val="1F1F1F"/>
          <w:sz w:val="22"/>
        </w:rPr>
        <w:t>Сама группа не создаёт проводок и не меняет исходные суммы.</w:t>
      </w:r>
    </w:p>
    <w:p>
      <w:pPr>
        <w:pStyle w:val="Heading2"/>
      </w:pPr>
      <w:r>
        <w:t>10.1. Дополнительные логические правила</w:t>
      </w:r>
    </w:p>
    <w:p>
      <w:pPr>
        <w:pStyle w:val="ContractList"/>
      </w:pPr>
      <w:r>
        <w:t>— (1) По умолчанию проверяются все экономически значимые группы выбранной организации и выбранного периода. Пользовательская настройка может исключить отдельные группы из определённого вида сопоставления, но не должна ограничивать проверку только заранее перечисленным набором.</w:t>
      </w:r>
    </w:p>
    <w:p>
      <w:pPr>
        <w:pStyle w:val="ContractList"/>
      </w:pPr>
      <w:r>
        <w:t>— (1) Сверка всегда выполняется раздельно по организации и по конкретному периоду. Взаимозачёт расхождений между разными организациями или периодами не допускается.</w:t>
      </w:r>
    </w:p>
    <w:p>
      <w:pPr>
        <w:pStyle w:val="ContractList"/>
      </w:pPr>
      <w:r>
        <w:t>— (1) Сначала анализируются межгрупповые расхождения, и только после их обработки — оставшиеся внутригрупповые расхождения внутри участвующих групп.</w:t>
      </w:r>
    </w:p>
    <w:p>
      <w:pPr>
        <w:pStyle w:val="ContractList"/>
      </w:pPr>
      <w:r>
        <w:t>— (1) Межгрупповая переклассификация рассматривается как одна целостная операция с двумя направлениями: снятие суммы с ошибочной классификации и отражение той же суммы в правильной классификации.</w:t>
      </w:r>
    </w:p>
    <w:p>
      <w:pPr>
        <w:pStyle w:val="ContractList"/>
      </w:pPr>
      <w:r>
        <w:t>— (1) Одна и та же сумма, строка источника или выявленный остаток может быть использована для объяснения расхождения только один раз. Повторное использование уже закрытого эффекта запрещено.</w:t>
      </w:r>
    </w:p>
    <w:p>
      <w:pPr>
        <w:pStyle w:val="ContractList"/>
      </w:pPr>
      <w:r>
        <w:t>— (1) После закрытия части расхождения дальнейший анализ выполняется только по оставшемуся непокрытому остатку, а не по полной исходной сумме группы.</w:t>
      </w:r>
    </w:p>
    <w:p>
      <w:pPr>
        <w:pStyle w:val="ContractList"/>
      </w:pPr>
      <w:r>
        <w:t>— (1) Закрытая родительская дельта не должна возникать повторно из-за анализа дочерних строк. Дочерние строки используются только для объяснения собственного непокрытого остатка.</w:t>
      </w:r>
    </w:p>
    <w:p>
      <w:pPr>
        <w:pStyle w:val="ContractList"/>
      </w:pPr>
      <w:r>
        <w:t>— (1) Простое совпадение сумм не считается достаточным доказательством связи. Для корректировки требуется подтверждённая экономическая связь и, отдельно, подтверждение конкретной физической операции.</w:t>
      </w:r>
    </w:p>
    <w:p>
      <w:pPr>
        <w:pStyle w:val="ContractList"/>
      </w:pPr>
      <w:r>
        <w:t>— (1) Допускаются связи одна строка к одной, одна к нескольким, несколько к одной и несколько к нескольким, если все части относятся к одному доказанному экономическому переносу и каждая часть используется один раз.</w:t>
      </w:r>
    </w:p>
    <w:p>
      <w:pPr>
        <w:pStyle w:val="ContractList"/>
      </w:pPr>
      <w:r>
        <w:t>— (1) Если найдено несколько возможных физических операций и нельзя однозначно определить нужную, они остаются кандидатами для проверки. Экономическая строка не размножается по числу кандидатов и не получает реквизиты ни одного из них без доказательства.</w:t>
      </w:r>
    </w:p>
    <w:p>
      <w:pPr>
        <w:pStyle w:val="ContractList"/>
      </w:pPr>
      <w:r>
        <w:t>— (1) Если экономическое направление доказано, а конкретная физическая операция определена не полностью, формируется только строка для ручной проверки. Неизвестные реквизиты остаются пустыми и не подставляются по умолчанию.</w:t>
      </w:r>
    </w:p>
    <w:p>
      <w:pPr>
        <w:pStyle w:val="ContractList"/>
      </w:pPr>
      <w:r>
        <w:t>— (1) Организация, выбранная для сверки, и организация конкретной физической операции рассматриваются раздельно. Неизвестная организация физической операции не заменяется организацией сверки.</w:t>
      </w:r>
    </w:p>
    <w:p>
      <w:pPr>
        <w:pStyle w:val="ContractList"/>
      </w:pPr>
      <w:r>
        <w:t>— (1) Пустая статья в источнике не должна исчезать из основного отчёта. Её сумма показывается в фактическом месте иерархии и включается в родительский итог ровно один раз.</w:t>
      </w:r>
    </w:p>
    <w:p>
      <w:pPr>
        <w:pStyle w:val="ContractList"/>
      </w:pPr>
      <w:r>
        <w:t>— (1) Родительский итог рассчитывается с учётом как классифицированных, так и неклассифицированных сумм. Использование только классифицированной части для расчёта родительской дельты не допускается.</w:t>
      </w:r>
    </w:p>
    <w:p>
      <w:pPr>
        <w:pStyle w:val="ContractList"/>
      </w:pPr>
      <w:r>
        <w:t>— (1) Если доказано, что строка с пустой статьёй в одном источнике соответствует той же физической операции с заполненной статьёй в другом источнике, это считается различием классификации и не требует финансовой корректировки.</w:t>
      </w:r>
    </w:p>
    <w:p>
      <w:pPr>
        <w:pStyle w:val="ContractList"/>
      </w:pPr>
      <w:r>
        <w:t>— (1) Пользовательская группа верхнеуровневых блоков является контрольным объединением, а не правилом пропуска проверки. Даже при нулевой общей дельте дочерние статьи выбранных блоков продолжают проверяться.</w:t>
      </w:r>
    </w:p>
    <w:p>
      <w:pPr>
        <w:pStyle w:val="ContractList"/>
      </w:pPr>
      <w:r>
        <w:t>— (1) Если у контрольной группы общая дельта равна нулю, закрывается только общий структурный эффект. Если общая дельта не равна нулю, остаток остаётся открытым межгрупповым расхождением и должен искать встречную сторону среди остальных допустимых групп.</w:t>
      </w:r>
    </w:p>
    <w:p>
      <w:pPr>
        <w:pStyle w:val="ContractList"/>
      </w:pPr>
      <w:r>
        <w:t>— (1) Закрывающие или распределительные бухгалтерские строки должны оставаться видимыми для доказательства движения суммы, но не должны повторно увеличивать расход, если они отражают уже учтённую экономическую операцию.</w:t>
      </w:r>
    </w:p>
    <w:p>
      <w:pPr>
        <w:pStyle w:val="ContractList"/>
      </w:pPr>
      <w:r>
        <w:t>— (1) Каждый месяц анализируется самостоятельно. Итог за квартал или год строится как сумма проверенных периодов и не может скрывать месячные расхождения взаимозачётом.</w:t>
      </w:r>
    </w:p>
    <w:p>
      <w:pPr>
        <w:pStyle w:val="ContractList"/>
      </w:pPr>
      <w:r>
        <w:t>— (1) Каждое обнаруженное расхождение должно иметь один понятный итоговый статус: доказанная переклассификация, структурное различие без проводки, различие классификации без проводки, строка для ручной проверки либо явная причина блокировки.</w:t>
      </w:r>
    </w:p>
    <w:p>
      <w:pPr>
        <w:pStyle w:val="ContractList"/>
      </w:pPr>
      <w:r>
        <w:t>— (1) Для парной корректировки сумма снятия и сумма нового отражения должны быть равны по абсолютной величине, а общий экономический результат пары должен оставаться нулевым.</w:t>
      </w:r>
    </w:p>
    <w:p>
      <w:pPr>
        <w:pStyle w:val="ContractList"/>
      </w:pPr>
      <w:r>
        <w:t>— (1) Наличие отчёта, найденного журнала или высокой уверенности сопоставления само по себе не разрешает автоматическую загрузку или проведение. Финансовое действие допускается только после отдельного пользовательского решения вне данного расчёта.</w:t>
      </w:r>
    </w:p>
    <w:p>
      <w:pPr>
        <w:pStyle w:val="Heading1"/>
        <w:keepNext/>
      </w:pPr>
      <w:r>
        <w:t>11. Пользовательский интерфейс</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300"/>
        <w:gridCol w:w="7060"/>
      </w:tblGrid>
      <w:tr>
        <w:trPr>
          <w:tblHeader w:val="true"/>
          <w:cantSplit/>
        </w:trPr>
        <w:tc>
          <w:tcPr>
            <w:tcW w:type="dxa" w:w="23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Блок интерфейса</w:t>
            </w:r>
          </w:p>
        </w:tc>
        <w:tc>
          <w:tcPr>
            <w:tcW w:type="dxa" w:w="7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Обязательное поведение</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Инталев</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Автовыбор последнего источника; кнопка замены и фиксации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ERP</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Выбор ZIP/Excel/папки; явный статус наличия журнала</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Период</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Месяц, квартал, год; ручной ввод и понятный формат</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Организация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Только верхние уровни ERP; автоматическое предложение без смешения организаций</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Результат</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Короткий путь, кнопки открыть отчёт/папку</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Действия</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Сформировать сверку, нулевые группы, реестр статей, корректировки</w:t>
            </w:r>
          </w:p>
        </w:tc>
      </w:tr>
      <w:tr>
        <w:trPr>
          <w:cantSplit/>
        </w:trPr>
        <w:tc>
          <w:tcPr>
            <w:tcW w:type="dxa" w:w="2300"/>
            <w:tcMar>
              <w:top w:w="80" w:type="dxa"/>
              <w:start w:w="120" w:type="dxa"/>
              <w:bottom w:w="80" w:type="dxa"/>
              <w:end w:w="120" w:type="dxa"/>
            </w:tcMar>
            <w:vAlign w:val="top"/>
          </w:tcPr>
          <w:p>
            <w:pPr>
              <w:spacing w:after="0"/>
            </w:pPr>
            <w:r>
              <w:rPr>
                <w:rFonts w:ascii="Calibri" w:hAnsi="Calibri" w:eastAsia="Calibri"/>
                <w:color w:val="1F1F1F"/>
                <w:sz w:val="18"/>
              </w:rPr>
              <w:t>Утверждение статей</w:t>
            </w:r>
          </w:p>
        </w:tc>
        <w:tc>
          <w:tcPr>
            <w:tcW w:type="dxa" w:w="7060"/>
            <w:tcMar>
              <w:top w:w="80" w:type="dxa"/>
              <w:start w:w="120" w:type="dxa"/>
              <w:bottom w:w="80" w:type="dxa"/>
              <w:end w:w="120" w:type="dxa"/>
            </w:tcMar>
            <w:vAlign w:val="top"/>
          </w:tcPr>
          <w:p>
            <w:pPr>
              <w:spacing w:after="0"/>
            </w:pPr>
            <w:r>
              <w:rPr>
                <w:rFonts w:ascii="Calibri" w:hAnsi="Calibri" w:eastAsia="Calibri"/>
                <w:color w:val="1F1F1F"/>
                <w:sz w:val="18"/>
              </w:rPr>
              <w:t>Отдельное окно: фильтр НУЖНА ПРОВЕРКА, кнопки Утвердить, Изменить, Запретить, Утвердить все однозначные и Зафиксировать утверждения</w:t>
            </w:r>
          </w:p>
        </w:tc>
      </w:tr>
    </w:tbl>
    <w:p>
      <w:pPr/>
      <w:r>
        <w:rPr>
          <w:rFonts w:ascii="Calibri" w:hAnsi="Calibri" w:eastAsia="Calibri"/>
          <w:i w:val="0"/>
          <w:color w:val="1F1F1F"/>
          <w:sz w:val="22"/>
        </w:rPr>
        <w:t>После завершения расчёта индикатор должен остановиться, интерфейс — перейти в состояние Готово, а процесс не должен оставаться зависшим. Если используется локальный порт, перед каждым запуском launcher определяет точный порт текущего приложения, проверяет владельца слушающего процесса, завершает только предыдущий экземпляр OPIU и всё его дочернее дерево, затем дожидается подтверждения, что порт свободен. Новый интерфейс открывается только после успешной проверки освобождения порта. Запрещено завершать посторонний процесс только по совпадению номера порта. Если порт не освободился за установленный тайм-аут, запуск блокируется понятным сообщением с номером порта, PID владельца и путём к диагностическому журналу. Быстрый повторный запуск не должен подключаться к старому процессу или открывать файл до готовности нового экземпляра. В автономном варианте без локального порта эта проверка не требуется.</w:t>
      </w:r>
    </w:p>
    <w:p>
      <w:pPr/>
      <w:r>
        <w:rPr>
          <w:rFonts w:ascii="Calibri" w:hAnsi="Calibri" w:eastAsia="Calibri"/>
          <w:i w:val="0"/>
          <w:color w:val="1F1F1F"/>
          <w:sz w:val="22"/>
        </w:rPr>
        <w:t>Сообщение об ошибке должно называть конкретную причину: неверный тип источника, одинаковые файлы Инталев/ERP, отсутствующий период, несовпадение организации, отсутствие журнала или неоднозначность.</w:t>
      </w:r>
    </w:p>
    <w:p>
      <w:pPr>
        <w:pStyle w:val="Heading1"/>
        <w:keepNext/>
      </w:pPr>
      <w:r>
        <w:t>12. Выходные данные</w:t>
      </w:r>
    </w:p>
    <w:p>
      <w:pPr>
        <w:pStyle w:val="Heading2"/>
        <w:keepNext/>
      </w:pPr>
      <w:r>
        <w:t>12.1. Сверка XLSX</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700"/>
        <w:gridCol w:w="6660"/>
      </w:tblGrid>
      <w:tr>
        <w:trPr>
          <w:tblHeader w:val="true"/>
          <w:cantSplit/>
        </w:trPr>
        <w:tc>
          <w:tcPr>
            <w:tcW w:type="dxa" w:w="27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Лист</w:t>
            </w:r>
          </w:p>
        </w:tc>
        <w:tc>
          <w:tcPr>
            <w:tcW w:type="dxa" w:w="66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Назначение</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00_Паспорт</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Контекст запуска, организация, период, источники и статусы безопасности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01_Сверка_дерево</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Полная фактическая иерархия Инталев, статьи ERP, суммы, дельты и статусы</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01_Сверка_ОПИУ</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Плоская управленческая сверка</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01_Правила</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Заранее заполненный реестр сопоставлений, пять решений пользователя, основания, уверенность, примеры проводок и поля фиксации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02_Помесячно</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Разложение периода по месяцам</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03_Инталев_узлы</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Аудит узлов и путей Инталев</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03A_Пустые_статьи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Пустые статьи и их детали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04_ERP_статьи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Статьи и пути ERP</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04A_Расхождения_проводок</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Доказанные, неоднозначные и несопоставленные журнальные кандидаты</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04B_R001_решения</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Решения для корректировочного движка</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05_Несопоставленные</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Остатки, требующие проверки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06_Источники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Пути, роли и SHA-256 источников</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07_Контроли</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Суммы, повторное использование, формулы и статус модели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08_Операции_журнала</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Физические операции</w:t>
            </w:r>
          </w:p>
        </w:tc>
      </w:tr>
      <w:tr>
        <w:trPr>
          <w:cantSplit/>
        </w:trPr>
        <w:tc>
          <w:tcPr>
            <w:tcW w:type="dxa" w:w="2700"/>
            <w:tcMar>
              <w:top w:w="80" w:type="dxa"/>
              <w:start w:w="120" w:type="dxa"/>
              <w:bottom w:w="80" w:type="dxa"/>
              <w:end w:w="120" w:type="dxa"/>
            </w:tcMar>
            <w:vAlign w:val="top"/>
          </w:tcPr>
          <w:p>
            <w:pPr>
              <w:spacing w:after="0"/>
            </w:pPr>
            <w:r>
              <w:rPr>
                <w:rFonts w:ascii="Calibri" w:hAnsi="Calibri" w:eastAsia="Calibri"/>
                <w:color w:val="1F1F1F"/>
                <w:sz w:val="18"/>
              </w:rPr>
              <w:t>08_Решения_обоснование</w:t>
            </w:r>
          </w:p>
        </w:tc>
        <w:tc>
          <w:tcPr>
            <w:tcW w:type="dxa" w:w="6660"/>
            <w:tcMar>
              <w:top w:w="80" w:type="dxa"/>
              <w:start w:w="120" w:type="dxa"/>
              <w:bottom w:w="80" w:type="dxa"/>
              <w:end w:w="120" w:type="dxa"/>
            </w:tcMar>
            <w:vAlign w:val="top"/>
          </w:tcPr>
          <w:p>
            <w:pPr>
              <w:spacing w:after="0"/>
            </w:pPr>
            <w:r>
              <w:rPr>
                <w:rFonts w:ascii="Calibri" w:hAnsi="Calibri" w:eastAsia="Calibri"/>
                <w:color w:val="1F1F1F"/>
                <w:sz w:val="18"/>
              </w:rPr>
              <w:t>Понятное объяснение каждого решения</w:t>
            </w:r>
          </w:p>
        </w:tc>
      </w:tr>
    </w:tbl>
    <w:p>
      <w:pPr>
        <w:pStyle w:val="Heading2"/>
        <w:keepNext/>
      </w:pPr>
      <w:r>
        <w:t>12.2. Формат комплекта корректировок</w:t>
      </w:r>
    </w:p>
    <w:p>
      <w:pPr>
        <w:pStyle w:val="ContractList"/>
      </w:pPr>
      <w:r>
        <w:t>— (1) По каждому выбранному периоду формируется единый комплект результатов. Пользователь получает отдельно сверку, подтверждённые корректировки, спорные корректировки и реестр решений.</w:t>
      </w:r>
    </w:p>
    <w:p>
      <w:pPr>
        <w:pStyle w:val="ContractList"/>
      </w:pPr>
      <w:r>
        <w:t>— (1) Подтверждённые корректировки сохраняются в файл Excel с именем: [Организация][ДД.ММ.ГГГГ]_ОПИУ_ГОТОВО.xlsx.</w:t>
      </w:r>
    </w:p>
    <w:p>
      <w:pPr>
        <w:pStyle w:val="ContractList"/>
      </w:pPr>
      <w:r>
        <w:t>— (1) Корректировки, требующие ручной проверки, сохраняются отдельно в файл: [Организация][ДД.ММ.ГГГГ]_ОПИУ_ГОТОВО_СПОРНО.xlsx. Если исходная организация не доказана, в имени файла указывается «ИСТОЧНИК НЕ ОПРЕДЕЛЕН».</w:t>
      </w:r>
    </w:p>
    <w:p>
      <w:pPr>
        <w:pStyle w:val="ContractList"/>
      </w:pPr>
      <w:r>
        <w:t>— (1) Дата в имени корректировочного файла соответствует дате, для которой сформированы строки корректировки; при формировании единого месячного файла используется последний календарный день месяца.</w:t>
      </w:r>
    </w:p>
    <w:p>
      <w:pPr>
        <w:pStyle w:val="ContractList"/>
      </w:pPr>
      <w:r>
        <w:t>— (1) Файл создаётся только при наличии строк соответствующего типа. Пустой файл не должен выдаваться как успешный результат.</w:t>
      </w:r>
    </w:p>
    <w:p>
      <w:pPr>
        <w:pStyle w:val="ContractList"/>
      </w:pPr>
      <w:r>
        <w:t>— (1) Все строки одной организации и одной даты, предназначенные для одного файла, объединяются в один файл; одинаковая физическая операция не должна дублироваться.</w:t>
      </w:r>
    </w:p>
    <w:p>
      <w:pPr>
        <w:pStyle w:val="ContractList"/>
      </w:pPr>
      <w:r>
        <w:t>— (1) Корректировочный файл содержит ровно один загрузочный лист с наименованием «Загрузка_A_AA». Заголовки расположены в первой строке, данные начинаются со второй строки.</w:t>
      </w:r>
    </w:p>
    <w:p>
      <w:pPr>
        <w:pStyle w:val="ContractList"/>
      </w:pPr>
      <w:r>
        <w:t>— (1) Формат загрузочного листа фиксированный: 27 колонок A:AA. Порядок и наименование колонок являются частью контракта и не могут изменяться без новой версии контракта.</w:t>
      </w:r>
    </w:p>
    <w:p>
      <w:pPr>
        <w:pStyle w:val="Heading2"/>
        <w:keepNext/>
      </w:pPr>
      <w:r>
        <w:t>12.3. Обязательные колонки корректировочного файла</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907"/>
            <w:vAlign w:val="center"/>
            <w:tcMar>
              <w:top w:w="80" w:type="dxa"/>
              <w:left w:w="80" w:type="dxa"/>
              <w:bottom w:w="80" w:type="dxa"/>
              <w:right w:w="80" w:type="dxa"/>
            </w:tcMar>
          </w:tcPr>
          <w:p>
            <w:pPr>
              <w:spacing w:after="0" w:line="240" w:lineRule="auto"/>
            </w:pPr>
            <w:r>
              <w:rPr>
                <w:b/>
                <w:sz w:val="17"/>
              </w:rPr>
              <w:t>Колонка</w:t>
            </w:r>
          </w:p>
        </w:tc>
        <w:tc>
          <w:tcPr>
            <w:tcW w:type="dxa" w:w="3402"/>
            <w:vAlign w:val="center"/>
            <w:tcMar>
              <w:top w:w="80" w:type="dxa"/>
              <w:left w:w="80" w:type="dxa"/>
              <w:bottom w:w="80" w:type="dxa"/>
              <w:right w:w="80" w:type="dxa"/>
            </w:tcMar>
          </w:tcPr>
          <w:p>
            <w:pPr>
              <w:spacing w:after="0" w:line="240" w:lineRule="auto"/>
            </w:pPr>
            <w:r>
              <w:rPr>
                <w:b/>
                <w:sz w:val="17"/>
              </w:rPr>
              <w:t>Наименование</w:t>
            </w:r>
          </w:p>
        </w:tc>
        <w:tc>
          <w:tcPr>
            <w:tcW w:type="dxa" w:w="5216"/>
            <w:vAlign w:val="center"/>
            <w:tcMar>
              <w:top w:w="80" w:type="dxa"/>
              <w:left w:w="80" w:type="dxa"/>
              <w:bottom w:w="80" w:type="dxa"/>
              <w:right w:w="80" w:type="dxa"/>
            </w:tcMar>
          </w:tcPr>
          <w:p>
            <w:pPr>
              <w:spacing w:after="0" w:line="240" w:lineRule="auto"/>
            </w:pPr>
            <w:r>
              <w:rPr>
                <w:b/>
                <w:sz w:val="17"/>
              </w:rPr>
              <w:t>Правило заполнения</w:t>
            </w:r>
          </w:p>
        </w:tc>
      </w:tr>
      <w:tr>
        <w:tc>
          <w:tcPr>
            <w:tcW w:type="dxa" w:w="907"/>
            <w:vAlign w:val="center"/>
            <w:tcMar>
              <w:top w:w="80" w:type="dxa"/>
              <w:left w:w="80" w:type="dxa"/>
              <w:bottom w:w="80" w:type="dxa"/>
              <w:right w:w="80" w:type="dxa"/>
            </w:tcMar>
          </w:tcPr>
          <w:p>
            <w:pPr>
              <w:spacing w:after="0" w:line="240" w:lineRule="auto"/>
            </w:pPr>
            <w:r>
              <w:rPr>
                <w:sz w:val="17"/>
              </w:rPr>
              <w:t>A</w:t>
            </w:r>
          </w:p>
        </w:tc>
        <w:tc>
          <w:tcPr>
            <w:tcW w:type="dxa" w:w="3402"/>
            <w:vAlign w:val="center"/>
            <w:tcMar>
              <w:top w:w="80" w:type="dxa"/>
              <w:left w:w="80" w:type="dxa"/>
              <w:bottom w:w="80" w:type="dxa"/>
              <w:right w:w="80" w:type="dxa"/>
            </w:tcMar>
          </w:tcPr>
          <w:p>
            <w:pPr>
              <w:spacing w:after="0" w:line="240" w:lineRule="auto"/>
            </w:pPr>
            <w:r>
              <w:rPr>
                <w:sz w:val="17"/>
              </w:rPr>
              <w:t>СчетДт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B</w:t>
            </w:r>
          </w:p>
        </w:tc>
        <w:tc>
          <w:tcPr>
            <w:tcW w:type="dxa" w:w="3402"/>
            <w:vAlign w:val="center"/>
            <w:tcMar>
              <w:top w:w="80" w:type="dxa"/>
              <w:left w:w="80" w:type="dxa"/>
              <w:bottom w:w="80" w:type="dxa"/>
              <w:right w:w="80" w:type="dxa"/>
            </w:tcMar>
          </w:tcPr>
          <w:p>
            <w:pPr>
              <w:spacing w:after="0" w:line="240" w:lineRule="auto"/>
            </w:pPr>
            <w:r>
              <w:rPr>
                <w:sz w:val="17"/>
              </w:rPr>
              <w:t>СчетКт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C</w:t>
            </w:r>
          </w:p>
        </w:tc>
        <w:tc>
          <w:tcPr>
            <w:tcW w:type="dxa" w:w="3402"/>
            <w:vAlign w:val="center"/>
            <w:tcMar>
              <w:top w:w="80" w:type="dxa"/>
              <w:left w:w="80" w:type="dxa"/>
              <w:bottom w:w="80" w:type="dxa"/>
              <w:right w:w="80" w:type="dxa"/>
            </w:tcMar>
          </w:tcPr>
          <w:p>
            <w:pPr>
              <w:spacing w:after="0" w:line="240" w:lineRule="auto"/>
            </w:pPr>
            <w:r>
              <w:rPr>
                <w:sz w:val="17"/>
              </w:rPr>
              <w:t>ВалютаДт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D</w:t>
            </w:r>
          </w:p>
        </w:tc>
        <w:tc>
          <w:tcPr>
            <w:tcW w:type="dxa" w:w="3402"/>
            <w:vAlign w:val="center"/>
            <w:tcMar>
              <w:top w:w="80" w:type="dxa"/>
              <w:left w:w="80" w:type="dxa"/>
              <w:bottom w:w="80" w:type="dxa"/>
              <w:right w:w="80" w:type="dxa"/>
            </w:tcMar>
          </w:tcPr>
          <w:p>
            <w:pPr>
              <w:spacing w:after="0" w:line="240" w:lineRule="auto"/>
            </w:pPr>
            <w:r>
              <w:rPr>
                <w:sz w:val="17"/>
              </w:rPr>
              <w:t>ВалютаКт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E</w:t>
            </w:r>
          </w:p>
        </w:tc>
        <w:tc>
          <w:tcPr>
            <w:tcW w:type="dxa" w:w="3402"/>
            <w:vAlign w:val="center"/>
            <w:tcMar>
              <w:top w:w="80" w:type="dxa"/>
              <w:left w:w="80" w:type="dxa"/>
              <w:bottom w:w="80" w:type="dxa"/>
              <w:right w:w="80" w:type="dxa"/>
            </w:tcMar>
          </w:tcPr>
          <w:p>
            <w:pPr>
              <w:spacing w:after="0" w:line="240" w:lineRule="auto"/>
            </w:pPr>
            <w:r>
              <w:rPr>
                <w:sz w:val="17"/>
              </w:rPr>
              <w:t>ВидОперации</w:t>
            </w:r>
          </w:p>
        </w:tc>
        <w:tc>
          <w:tcPr>
            <w:tcW w:type="dxa" w:w="5216"/>
            <w:vAlign w:val="center"/>
            <w:tcMar>
              <w:top w:w="80" w:type="dxa"/>
              <w:left w:w="80" w:type="dxa"/>
              <w:bottom w:w="80" w:type="dxa"/>
              <w:right w:w="80" w:type="dxa"/>
            </w:tcMar>
          </w:tcPr>
          <w:p>
            <w:pPr>
              <w:spacing w:after="0" w:line="240" w:lineRule="auto"/>
            </w:pPr>
            <w:r>
              <w:rPr>
                <w:sz w:val="17"/>
              </w:rPr>
              <w:t>Только STORNO или REPOST.</w:t>
            </w:r>
          </w:p>
        </w:tc>
      </w:tr>
      <w:tr>
        <w:tc>
          <w:tcPr>
            <w:tcW w:type="dxa" w:w="907"/>
            <w:vAlign w:val="center"/>
            <w:tcMar>
              <w:top w:w="80" w:type="dxa"/>
              <w:left w:w="80" w:type="dxa"/>
              <w:bottom w:w="80" w:type="dxa"/>
              <w:right w:w="80" w:type="dxa"/>
            </w:tcMar>
          </w:tcPr>
          <w:p>
            <w:pPr>
              <w:spacing w:after="0" w:line="240" w:lineRule="auto"/>
            </w:pPr>
            <w:r>
              <w:rPr>
                <w:sz w:val="17"/>
              </w:rPr>
              <w:t>F</w:t>
            </w:r>
          </w:p>
        </w:tc>
        <w:tc>
          <w:tcPr>
            <w:tcW w:type="dxa" w:w="3402"/>
            <w:vAlign w:val="center"/>
            <w:tcMar>
              <w:top w:w="80" w:type="dxa"/>
              <w:left w:w="80" w:type="dxa"/>
              <w:bottom w:w="80" w:type="dxa"/>
              <w:right w:w="80" w:type="dxa"/>
            </w:tcMar>
          </w:tcPr>
          <w:p>
            <w:pPr>
              <w:spacing w:after="0" w:line="240" w:lineRule="auto"/>
            </w:pPr>
            <w:r>
              <w:rPr>
                <w:sz w:val="17"/>
              </w:rPr>
              <w:t>ПодразделениеДт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G</w:t>
            </w:r>
          </w:p>
        </w:tc>
        <w:tc>
          <w:tcPr>
            <w:tcW w:type="dxa" w:w="3402"/>
            <w:vAlign w:val="center"/>
            <w:tcMar>
              <w:top w:w="80" w:type="dxa"/>
              <w:left w:w="80" w:type="dxa"/>
              <w:bottom w:w="80" w:type="dxa"/>
              <w:right w:w="80" w:type="dxa"/>
            </w:tcMar>
          </w:tcPr>
          <w:p>
            <w:pPr>
              <w:spacing w:after="0" w:line="240" w:lineRule="auto"/>
            </w:pPr>
            <w:r>
              <w:rPr>
                <w:sz w:val="17"/>
              </w:rPr>
              <w:t>ПодразделениеКт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H</w:t>
            </w:r>
          </w:p>
        </w:tc>
        <w:tc>
          <w:tcPr>
            <w:tcW w:type="dxa" w:w="3402"/>
            <w:vAlign w:val="center"/>
            <w:tcMar>
              <w:top w:w="80" w:type="dxa"/>
              <w:left w:w="80" w:type="dxa"/>
              <w:bottom w:w="80" w:type="dxa"/>
              <w:right w:w="80" w:type="dxa"/>
            </w:tcMar>
          </w:tcPr>
          <w:p>
            <w:pPr>
              <w:spacing w:after="0" w:line="240" w:lineRule="auto"/>
            </w:pPr>
            <w:r>
              <w:rPr>
                <w:sz w:val="17"/>
              </w:rPr>
              <w:t>НаправлениеДеятельностиДт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I</w:t>
            </w:r>
          </w:p>
        </w:tc>
        <w:tc>
          <w:tcPr>
            <w:tcW w:type="dxa" w:w="3402"/>
            <w:vAlign w:val="center"/>
            <w:tcMar>
              <w:top w:w="80" w:type="dxa"/>
              <w:left w:w="80" w:type="dxa"/>
              <w:bottom w:w="80" w:type="dxa"/>
              <w:right w:w="80" w:type="dxa"/>
            </w:tcMar>
          </w:tcPr>
          <w:p>
            <w:pPr>
              <w:spacing w:after="0" w:line="240" w:lineRule="auto"/>
            </w:pPr>
            <w:r>
              <w:rPr>
                <w:sz w:val="17"/>
              </w:rPr>
              <w:t>НаправлениеДеятельностиКт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J</w:t>
            </w:r>
          </w:p>
        </w:tc>
        <w:tc>
          <w:tcPr>
            <w:tcW w:type="dxa" w:w="3402"/>
            <w:vAlign w:val="center"/>
            <w:tcMar>
              <w:top w:w="80" w:type="dxa"/>
              <w:left w:w="80" w:type="dxa"/>
              <w:bottom w:w="80" w:type="dxa"/>
              <w:right w:w="80" w:type="dxa"/>
            </w:tcMar>
          </w:tcPr>
          <w:p>
            <w:pPr>
              <w:spacing w:after="0" w:line="240" w:lineRule="auto"/>
            </w:pPr>
            <w:r>
              <w:rPr>
                <w:sz w:val="17"/>
              </w:rPr>
              <w:t>СуммаВВалютеУчета</w:t>
            </w:r>
          </w:p>
        </w:tc>
        <w:tc>
          <w:tcPr>
            <w:tcW w:type="dxa" w:w="5216"/>
            <w:vAlign w:val="center"/>
            <w:tcMar>
              <w:top w:w="80" w:type="dxa"/>
              <w:left w:w="80" w:type="dxa"/>
              <w:bottom w:w="80" w:type="dxa"/>
              <w:right w:w="80" w:type="dxa"/>
            </w:tcMar>
          </w:tcPr>
          <w:p>
            <w:pPr>
              <w:spacing w:after="0" w:line="240" w:lineRule="auto"/>
            </w:pPr>
            <w:r>
              <w:rPr>
                <w:sz w:val="17"/>
              </w:rPr>
              <w:t>Число с точностью до копеек. Для STORNO — отрицательное, для REPOST — положительное.</w:t>
            </w:r>
          </w:p>
        </w:tc>
      </w:tr>
      <w:tr>
        <w:tc>
          <w:tcPr>
            <w:tcW w:type="dxa" w:w="907"/>
            <w:vAlign w:val="center"/>
            <w:tcMar>
              <w:top w:w="80" w:type="dxa"/>
              <w:left w:w="80" w:type="dxa"/>
              <w:bottom w:w="80" w:type="dxa"/>
              <w:right w:w="80" w:type="dxa"/>
            </w:tcMar>
          </w:tcPr>
          <w:p>
            <w:pPr>
              <w:spacing w:after="0" w:line="240" w:lineRule="auto"/>
            </w:pPr>
            <w:r>
              <w:rPr>
                <w:sz w:val="17"/>
              </w:rPr>
              <w:t>K</w:t>
            </w:r>
          </w:p>
        </w:tc>
        <w:tc>
          <w:tcPr>
            <w:tcW w:type="dxa" w:w="3402"/>
            <w:vAlign w:val="center"/>
            <w:tcMar>
              <w:top w:w="80" w:type="dxa"/>
              <w:left w:w="80" w:type="dxa"/>
              <w:bottom w:w="80" w:type="dxa"/>
              <w:right w:w="80" w:type="dxa"/>
            </w:tcMar>
          </w:tcPr>
          <w:p>
            <w:pPr>
              <w:spacing w:after="0" w:line="240" w:lineRule="auto"/>
            </w:pPr>
            <w:r>
              <w:rPr>
                <w:sz w:val="17"/>
              </w:rPr>
              <w:t>СуммаВВалютеОтчетности</w:t>
            </w:r>
          </w:p>
        </w:tc>
        <w:tc>
          <w:tcPr>
            <w:tcW w:type="dxa" w:w="5216"/>
            <w:vAlign w:val="center"/>
            <w:tcMar>
              <w:top w:w="80" w:type="dxa"/>
              <w:left w:w="80" w:type="dxa"/>
              <w:bottom w:w="80" w:type="dxa"/>
              <w:right w:w="80" w:type="dxa"/>
            </w:tcMar>
          </w:tcPr>
          <w:p>
            <w:pPr>
              <w:spacing w:after="0" w:line="240" w:lineRule="auto"/>
            </w:pPr>
            <w:r>
              <w:rPr>
                <w:sz w:val="17"/>
              </w:rPr>
              <w:t>Число с точностью до копеек; знак соответствует виду операции.</w:t>
            </w:r>
          </w:p>
        </w:tc>
      </w:tr>
      <w:tr>
        <w:tc>
          <w:tcPr>
            <w:tcW w:type="dxa" w:w="907"/>
            <w:vAlign w:val="center"/>
            <w:tcMar>
              <w:top w:w="80" w:type="dxa"/>
              <w:left w:w="80" w:type="dxa"/>
              <w:bottom w:w="80" w:type="dxa"/>
              <w:right w:w="80" w:type="dxa"/>
            </w:tcMar>
          </w:tcPr>
          <w:p>
            <w:pPr>
              <w:spacing w:after="0" w:line="240" w:lineRule="auto"/>
            </w:pPr>
            <w:r>
              <w:rPr>
                <w:sz w:val="17"/>
              </w:rPr>
              <w:t>L</w:t>
            </w:r>
          </w:p>
        </w:tc>
        <w:tc>
          <w:tcPr>
            <w:tcW w:type="dxa" w:w="3402"/>
            <w:vAlign w:val="center"/>
            <w:tcMar>
              <w:top w:w="80" w:type="dxa"/>
              <w:left w:w="80" w:type="dxa"/>
              <w:bottom w:w="80" w:type="dxa"/>
              <w:right w:w="80" w:type="dxa"/>
            </w:tcMar>
          </w:tcPr>
          <w:p>
            <w:pPr>
              <w:spacing w:after="0" w:line="240" w:lineRule="auto"/>
            </w:pPr>
            <w:r>
              <w:rPr>
                <w:sz w:val="17"/>
              </w:rPr>
              <w:t>СуммаВВалютеДт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M</w:t>
            </w:r>
          </w:p>
        </w:tc>
        <w:tc>
          <w:tcPr>
            <w:tcW w:type="dxa" w:w="3402"/>
            <w:vAlign w:val="center"/>
            <w:tcMar>
              <w:top w:w="80" w:type="dxa"/>
              <w:left w:w="80" w:type="dxa"/>
              <w:bottom w:w="80" w:type="dxa"/>
              <w:right w:w="80" w:type="dxa"/>
            </w:tcMar>
          </w:tcPr>
          <w:p>
            <w:pPr>
              <w:spacing w:after="0" w:line="240" w:lineRule="auto"/>
            </w:pPr>
            <w:r>
              <w:rPr>
                <w:sz w:val="17"/>
              </w:rPr>
              <w:t>СуммаВВалютеКт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N</w:t>
            </w:r>
          </w:p>
        </w:tc>
        <w:tc>
          <w:tcPr>
            <w:tcW w:type="dxa" w:w="3402"/>
            <w:vAlign w:val="center"/>
            <w:tcMar>
              <w:top w:w="80" w:type="dxa"/>
              <w:left w:w="80" w:type="dxa"/>
              <w:bottom w:w="80" w:type="dxa"/>
              <w:right w:w="80" w:type="dxa"/>
            </w:tcMar>
          </w:tcPr>
          <w:p>
            <w:pPr>
              <w:spacing w:after="0" w:line="240" w:lineRule="auto"/>
            </w:pPr>
            <w:r>
              <w:rPr>
                <w:sz w:val="17"/>
              </w:rPr>
              <w:t>КоличествоДт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O</w:t>
            </w:r>
          </w:p>
        </w:tc>
        <w:tc>
          <w:tcPr>
            <w:tcW w:type="dxa" w:w="3402"/>
            <w:vAlign w:val="center"/>
            <w:tcMar>
              <w:top w:w="80" w:type="dxa"/>
              <w:left w:w="80" w:type="dxa"/>
              <w:bottom w:w="80" w:type="dxa"/>
              <w:right w:w="80" w:type="dxa"/>
            </w:tcMar>
          </w:tcPr>
          <w:p>
            <w:pPr>
              <w:spacing w:after="0" w:line="240" w:lineRule="auto"/>
            </w:pPr>
            <w:r>
              <w:rPr>
                <w:sz w:val="17"/>
              </w:rPr>
              <w:t>КоличествоКт</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P</w:t>
            </w:r>
          </w:p>
        </w:tc>
        <w:tc>
          <w:tcPr>
            <w:tcW w:type="dxa" w:w="3402"/>
            <w:vAlign w:val="center"/>
            <w:tcMar>
              <w:top w:w="80" w:type="dxa"/>
              <w:left w:w="80" w:type="dxa"/>
              <w:bottom w:w="80" w:type="dxa"/>
              <w:right w:w="80" w:type="dxa"/>
            </w:tcMar>
          </w:tcPr>
          <w:p>
            <w:pPr>
              <w:spacing w:after="0" w:line="240" w:lineRule="auto"/>
            </w:pPr>
            <w:r>
              <w:rPr>
                <w:sz w:val="17"/>
              </w:rPr>
              <w:t>Содержание</w:t>
            </w:r>
          </w:p>
        </w:tc>
        <w:tc>
          <w:tcPr>
            <w:tcW w:type="dxa" w:w="5216"/>
            <w:vAlign w:val="center"/>
            <w:tcMar>
              <w:top w:w="80" w:type="dxa"/>
              <w:left w:w="80" w:type="dxa"/>
              <w:bottom w:w="80" w:type="dxa"/>
              <w:right w:w="80" w:type="dxa"/>
            </w:tcMar>
          </w:tcPr>
          <w:p>
            <w:pPr>
              <w:spacing w:after="0" w:line="240" w:lineRule="auto"/>
            </w:pPr>
            <w:r>
              <w:rPr>
                <w:sz w:val="17"/>
              </w:rPr>
              <w:t>Понятное пользователю объяснение: что меняется, почему, исходная и целевая статья, документ/операция и известные аналитики. Технические пути и служебные сведения не выводятся.</w:t>
            </w:r>
          </w:p>
        </w:tc>
      </w:tr>
      <w:tr>
        <w:tc>
          <w:tcPr>
            <w:tcW w:type="dxa" w:w="907"/>
            <w:vAlign w:val="center"/>
            <w:tcMar>
              <w:top w:w="80" w:type="dxa"/>
              <w:left w:w="80" w:type="dxa"/>
              <w:bottom w:w="80" w:type="dxa"/>
              <w:right w:w="80" w:type="dxa"/>
            </w:tcMar>
          </w:tcPr>
          <w:p>
            <w:pPr>
              <w:spacing w:after="0" w:line="240" w:lineRule="auto"/>
            </w:pPr>
            <w:r>
              <w:rPr>
                <w:sz w:val="17"/>
              </w:rPr>
              <w:t>Q</w:t>
            </w:r>
          </w:p>
        </w:tc>
        <w:tc>
          <w:tcPr>
            <w:tcW w:type="dxa" w:w="3402"/>
            <w:vAlign w:val="center"/>
            <w:tcMar>
              <w:top w:w="80" w:type="dxa"/>
              <w:left w:w="80" w:type="dxa"/>
              <w:bottom w:w="80" w:type="dxa"/>
              <w:right w:w="80" w:type="dxa"/>
            </w:tcMar>
          </w:tcPr>
          <w:p>
            <w:pPr>
              <w:spacing w:after="0" w:line="240" w:lineRule="auto"/>
            </w:pPr>
            <w:r>
              <w:rPr>
                <w:sz w:val="17"/>
              </w:rPr>
              <w:t>СчетДтИсточник</w:t>
            </w:r>
          </w:p>
        </w:tc>
        <w:tc>
          <w:tcPr>
            <w:tcW w:type="dxa" w:w="5216"/>
            <w:vAlign w:val="center"/>
            <w:tcMar>
              <w:top w:w="80" w:type="dxa"/>
              <w:left w:w="80" w:type="dxa"/>
              <w:bottom w:w="80" w:type="dxa"/>
              <w:right w:w="80" w:type="dxa"/>
            </w:tcMar>
          </w:tcPr>
          <w:p>
            <w:pPr>
              <w:spacing w:after="0" w:line="240" w:lineRule="auto"/>
            </w:pPr>
            <w:r>
              <w:rPr>
                <w:sz w:val="17"/>
              </w:rPr>
              <w:t>Заполняется по доказанной исходной операции; если не доказано — пусто.</w:t>
            </w:r>
          </w:p>
        </w:tc>
      </w:tr>
      <w:tr>
        <w:tc>
          <w:tcPr>
            <w:tcW w:type="dxa" w:w="907"/>
            <w:vAlign w:val="center"/>
            <w:tcMar>
              <w:top w:w="80" w:type="dxa"/>
              <w:left w:w="80" w:type="dxa"/>
              <w:bottom w:w="80" w:type="dxa"/>
              <w:right w:w="80" w:type="dxa"/>
            </w:tcMar>
          </w:tcPr>
          <w:p>
            <w:pPr>
              <w:spacing w:after="0" w:line="240" w:lineRule="auto"/>
            </w:pPr>
            <w:r>
              <w:rPr>
                <w:sz w:val="17"/>
              </w:rPr>
              <w:t>R</w:t>
            </w:r>
          </w:p>
        </w:tc>
        <w:tc>
          <w:tcPr>
            <w:tcW w:type="dxa" w:w="3402"/>
            <w:vAlign w:val="center"/>
            <w:tcMar>
              <w:top w:w="80" w:type="dxa"/>
              <w:left w:w="80" w:type="dxa"/>
              <w:bottom w:w="80" w:type="dxa"/>
              <w:right w:w="80" w:type="dxa"/>
            </w:tcMar>
          </w:tcPr>
          <w:p>
            <w:pPr>
              <w:spacing w:after="0" w:line="240" w:lineRule="auto"/>
            </w:pPr>
            <w:r>
              <w:rPr>
                <w:sz w:val="17"/>
              </w:rPr>
              <w:t>СчетКтИсточник</w:t>
            </w:r>
          </w:p>
        </w:tc>
        <w:tc>
          <w:tcPr>
            <w:tcW w:type="dxa" w:w="5216"/>
            <w:vAlign w:val="center"/>
            <w:tcMar>
              <w:top w:w="80" w:type="dxa"/>
              <w:left w:w="80" w:type="dxa"/>
              <w:bottom w:w="80" w:type="dxa"/>
              <w:right w:w="80" w:type="dxa"/>
            </w:tcMar>
          </w:tcPr>
          <w:p>
            <w:pPr>
              <w:spacing w:after="0" w:line="240" w:lineRule="auto"/>
            </w:pPr>
            <w:r>
              <w:rPr>
                <w:sz w:val="17"/>
              </w:rPr>
              <w:t>Заполняется по доказанной исходной операции; если не доказано — пусто.</w:t>
            </w:r>
          </w:p>
        </w:tc>
      </w:tr>
      <w:tr>
        <w:tc>
          <w:tcPr>
            <w:tcW w:type="dxa" w:w="907"/>
            <w:vAlign w:val="center"/>
            <w:tcMar>
              <w:top w:w="80" w:type="dxa"/>
              <w:left w:w="80" w:type="dxa"/>
              <w:bottom w:w="80" w:type="dxa"/>
              <w:right w:w="80" w:type="dxa"/>
            </w:tcMar>
          </w:tcPr>
          <w:p>
            <w:pPr>
              <w:spacing w:after="0" w:line="240" w:lineRule="auto"/>
            </w:pPr>
            <w:r>
              <w:rPr>
                <w:sz w:val="17"/>
              </w:rPr>
              <w:t>S</w:t>
            </w:r>
          </w:p>
        </w:tc>
        <w:tc>
          <w:tcPr>
            <w:tcW w:type="dxa" w:w="3402"/>
            <w:vAlign w:val="center"/>
            <w:tcMar>
              <w:top w:w="80" w:type="dxa"/>
              <w:left w:w="80" w:type="dxa"/>
              <w:bottom w:w="80" w:type="dxa"/>
              <w:right w:w="80" w:type="dxa"/>
            </w:tcMar>
          </w:tcPr>
          <w:p>
            <w:pPr>
              <w:spacing w:after="0" w:line="240" w:lineRule="auto"/>
            </w:pPr>
            <w:r>
              <w:rPr>
                <w:sz w:val="17"/>
              </w:rPr>
              <w:t>ИдентификаторФинЗаписи</w:t>
            </w:r>
          </w:p>
        </w:tc>
        <w:tc>
          <w:tcPr>
            <w:tcW w:type="dxa" w:w="5216"/>
            <w:vAlign w:val="center"/>
            <w:tcMar>
              <w:top w:w="80" w:type="dxa"/>
              <w:left w:w="80" w:type="dxa"/>
              <w:bottom w:w="80" w:type="dxa"/>
              <w:right w:w="80" w:type="dxa"/>
            </w:tcMar>
          </w:tcPr>
          <w:p>
            <w:pPr>
              <w:spacing w:after="0" w:line="240" w:lineRule="auto"/>
            </w:pPr>
            <w:r>
              <w:rPr>
                <w:sz w:val="17"/>
              </w:rPr>
              <w:t>Для подтверждённой строки — идентификатор конкретной исходной финансовой записи. Для спорной строки при отсутствии доказательства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T</w:t>
            </w:r>
          </w:p>
        </w:tc>
        <w:tc>
          <w:tcPr>
            <w:tcW w:type="dxa" w:w="3402"/>
            <w:vAlign w:val="center"/>
            <w:tcMar>
              <w:top w:w="80" w:type="dxa"/>
              <w:left w:w="80" w:type="dxa"/>
              <w:bottom w:w="80" w:type="dxa"/>
              <w:right w:w="80" w:type="dxa"/>
            </w:tcMar>
          </w:tcPr>
          <w:p>
            <w:pPr>
              <w:spacing w:after="0" w:line="240" w:lineRule="auto"/>
            </w:pPr>
            <w:r>
              <w:rPr>
                <w:sz w:val="17"/>
              </w:rPr>
              <w:t>ПравилоДт</w:t>
            </w:r>
          </w:p>
        </w:tc>
        <w:tc>
          <w:tcPr>
            <w:tcW w:type="dxa" w:w="5216"/>
            <w:vAlign w:val="center"/>
            <w:tcMar>
              <w:top w:w="80" w:type="dxa"/>
              <w:left w:w="80" w:type="dxa"/>
              <w:bottom w:w="80" w:type="dxa"/>
              <w:right w:w="80" w:type="dxa"/>
            </w:tcMar>
          </w:tcPr>
          <w:p>
            <w:pPr>
              <w:spacing w:after="0" w:line="240" w:lineRule="auto"/>
            </w:pPr>
            <w:r>
              <w:rPr>
                <w:sz w:val="17"/>
              </w:rPr>
              <w:t>Заполняется только при наличии подтверждённого значения; иначе пусто.</w:t>
            </w:r>
          </w:p>
        </w:tc>
      </w:tr>
      <w:tr>
        <w:tc>
          <w:tcPr>
            <w:tcW w:type="dxa" w:w="907"/>
            <w:vAlign w:val="center"/>
            <w:tcMar>
              <w:top w:w="80" w:type="dxa"/>
              <w:left w:w="80" w:type="dxa"/>
              <w:bottom w:w="80" w:type="dxa"/>
              <w:right w:w="80" w:type="dxa"/>
            </w:tcMar>
          </w:tcPr>
          <w:p>
            <w:pPr>
              <w:spacing w:after="0" w:line="240" w:lineRule="auto"/>
            </w:pPr>
            <w:r>
              <w:rPr>
                <w:sz w:val="17"/>
              </w:rPr>
              <w:t>U</w:t>
            </w:r>
          </w:p>
        </w:tc>
        <w:tc>
          <w:tcPr>
            <w:tcW w:type="dxa" w:w="3402"/>
            <w:vAlign w:val="center"/>
            <w:tcMar>
              <w:top w:w="80" w:type="dxa"/>
              <w:left w:w="80" w:type="dxa"/>
              <w:bottom w:w="80" w:type="dxa"/>
              <w:right w:w="80" w:type="dxa"/>
            </w:tcMar>
          </w:tcPr>
          <w:p>
            <w:pPr>
              <w:spacing w:after="0" w:line="240" w:lineRule="auto"/>
            </w:pPr>
            <w:r>
              <w:rPr>
                <w:sz w:val="17"/>
              </w:rPr>
              <w:t>ПравилоКт</w:t>
            </w:r>
          </w:p>
        </w:tc>
        <w:tc>
          <w:tcPr>
            <w:tcW w:type="dxa" w:w="5216"/>
            <w:vAlign w:val="center"/>
            <w:tcMar>
              <w:top w:w="80" w:type="dxa"/>
              <w:left w:w="80" w:type="dxa"/>
              <w:bottom w:w="80" w:type="dxa"/>
              <w:right w:w="80" w:type="dxa"/>
            </w:tcMar>
          </w:tcPr>
          <w:p>
            <w:pPr>
              <w:spacing w:after="0" w:line="240" w:lineRule="auto"/>
            </w:pPr>
            <w:r>
              <w:rPr>
                <w:sz w:val="17"/>
              </w:rPr>
              <w:t>Заполняется только при наличии подтверждённого значения; иначе пусто.</w:t>
            </w:r>
          </w:p>
        </w:tc>
      </w:tr>
      <w:tr>
        <w:tc>
          <w:tcPr>
            <w:tcW w:type="dxa" w:w="907"/>
            <w:vAlign w:val="center"/>
            <w:tcMar>
              <w:top w:w="80" w:type="dxa"/>
              <w:left w:w="80" w:type="dxa"/>
              <w:bottom w:w="80" w:type="dxa"/>
              <w:right w:w="80" w:type="dxa"/>
            </w:tcMar>
          </w:tcPr>
          <w:p>
            <w:pPr>
              <w:spacing w:after="0" w:line="240" w:lineRule="auto"/>
            </w:pPr>
            <w:r>
              <w:rPr>
                <w:sz w:val="17"/>
              </w:rPr>
              <w:t>V</w:t>
            </w:r>
          </w:p>
        </w:tc>
        <w:tc>
          <w:tcPr>
            <w:tcW w:type="dxa" w:w="3402"/>
            <w:vAlign w:val="center"/>
            <w:tcMar>
              <w:top w:w="80" w:type="dxa"/>
              <w:left w:w="80" w:type="dxa"/>
              <w:bottom w:w="80" w:type="dxa"/>
              <w:right w:w="80" w:type="dxa"/>
            </w:tcMar>
          </w:tcPr>
          <w:p>
            <w:pPr>
              <w:spacing w:after="0" w:line="240" w:lineRule="auto"/>
            </w:pPr>
            <w:r>
              <w:rPr>
                <w:sz w:val="17"/>
              </w:rPr>
              <w:t>СубконтоДт1</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W</w:t>
            </w:r>
          </w:p>
        </w:tc>
        <w:tc>
          <w:tcPr>
            <w:tcW w:type="dxa" w:w="3402"/>
            <w:vAlign w:val="center"/>
            <w:tcMar>
              <w:top w:w="80" w:type="dxa"/>
              <w:left w:w="80" w:type="dxa"/>
              <w:bottom w:w="80" w:type="dxa"/>
              <w:right w:w="80" w:type="dxa"/>
            </w:tcMar>
          </w:tcPr>
          <w:p>
            <w:pPr>
              <w:spacing w:after="0" w:line="240" w:lineRule="auto"/>
            </w:pPr>
            <w:r>
              <w:rPr>
                <w:sz w:val="17"/>
              </w:rPr>
              <w:t>СубконтоДт2</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X</w:t>
            </w:r>
          </w:p>
        </w:tc>
        <w:tc>
          <w:tcPr>
            <w:tcW w:type="dxa" w:w="3402"/>
            <w:vAlign w:val="center"/>
            <w:tcMar>
              <w:top w:w="80" w:type="dxa"/>
              <w:left w:w="80" w:type="dxa"/>
              <w:bottom w:w="80" w:type="dxa"/>
              <w:right w:w="80" w:type="dxa"/>
            </w:tcMar>
          </w:tcPr>
          <w:p>
            <w:pPr>
              <w:spacing w:after="0" w:line="240" w:lineRule="auto"/>
            </w:pPr>
            <w:r>
              <w:rPr>
                <w:sz w:val="17"/>
              </w:rPr>
              <w:t>СубконтоДт3</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Y</w:t>
            </w:r>
          </w:p>
        </w:tc>
        <w:tc>
          <w:tcPr>
            <w:tcW w:type="dxa" w:w="3402"/>
            <w:vAlign w:val="center"/>
            <w:tcMar>
              <w:top w:w="80" w:type="dxa"/>
              <w:left w:w="80" w:type="dxa"/>
              <w:bottom w:w="80" w:type="dxa"/>
              <w:right w:w="80" w:type="dxa"/>
            </w:tcMar>
          </w:tcPr>
          <w:p>
            <w:pPr>
              <w:spacing w:after="0" w:line="240" w:lineRule="auto"/>
            </w:pPr>
            <w:r>
              <w:rPr>
                <w:sz w:val="17"/>
              </w:rPr>
              <w:t>СубконтоКт1</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Z</w:t>
            </w:r>
          </w:p>
        </w:tc>
        <w:tc>
          <w:tcPr>
            <w:tcW w:type="dxa" w:w="3402"/>
            <w:vAlign w:val="center"/>
            <w:tcMar>
              <w:top w:w="80" w:type="dxa"/>
              <w:left w:w="80" w:type="dxa"/>
              <w:bottom w:w="80" w:type="dxa"/>
              <w:right w:w="80" w:type="dxa"/>
            </w:tcMar>
          </w:tcPr>
          <w:p>
            <w:pPr>
              <w:spacing w:after="0" w:line="240" w:lineRule="auto"/>
            </w:pPr>
            <w:r>
              <w:rPr>
                <w:sz w:val="17"/>
              </w:rPr>
              <w:t>СубконтоКт2</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r>
        <w:tc>
          <w:tcPr>
            <w:tcW w:type="dxa" w:w="907"/>
            <w:vAlign w:val="center"/>
            <w:tcMar>
              <w:top w:w="80" w:type="dxa"/>
              <w:left w:w="80" w:type="dxa"/>
              <w:bottom w:w="80" w:type="dxa"/>
              <w:right w:w="80" w:type="dxa"/>
            </w:tcMar>
          </w:tcPr>
          <w:p>
            <w:pPr>
              <w:spacing w:after="0" w:line="240" w:lineRule="auto"/>
            </w:pPr>
            <w:r>
              <w:rPr>
                <w:sz w:val="17"/>
              </w:rPr>
              <w:t>AA</w:t>
            </w:r>
          </w:p>
        </w:tc>
        <w:tc>
          <w:tcPr>
            <w:tcW w:type="dxa" w:w="3402"/>
            <w:vAlign w:val="center"/>
            <w:tcMar>
              <w:top w:w="80" w:type="dxa"/>
              <w:left w:w="80" w:type="dxa"/>
              <w:bottom w:w="80" w:type="dxa"/>
              <w:right w:w="80" w:type="dxa"/>
            </w:tcMar>
          </w:tcPr>
          <w:p>
            <w:pPr>
              <w:spacing w:after="0" w:line="240" w:lineRule="auto"/>
            </w:pPr>
            <w:r>
              <w:rPr>
                <w:sz w:val="17"/>
              </w:rPr>
              <w:t>СубконтоКт3</w:t>
            </w:r>
          </w:p>
        </w:tc>
        <w:tc>
          <w:tcPr>
            <w:tcW w:type="dxa" w:w="5216"/>
            <w:vAlign w:val="center"/>
            <w:tcMar>
              <w:top w:w="80" w:type="dxa"/>
              <w:left w:w="80" w:type="dxa"/>
              <w:bottom w:w="80" w:type="dxa"/>
              <w:right w:w="80" w:type="dxa"/>
            </w:tcMar>
          </w:tcPr>
          <w:p>
            <w:pPr>
              <w:spacing w:after="0" w:line="240" w:lineRule="auto"/>
            </w:pPr>
            <w:r>
              <w:rPr>
                <w:sz w:val="17"/>
              </w:rPr>
              <w:t>Заполняется фактическим значением из доказанной операции; если значение отсутствует или не доказано — поле остаётся пустым.</w:t>
            </w:r>
          </w:p>
        </w:tc>
      </w:tr>
    </w:tbl>
    <w:p>
      <w:pPr>
        <w:pStyle w:val="Heading2"/>
        <w:keepNext/>
      </w:pPr>
      <w:r>
        <w:t>12.4. Правила формирования строк корректировок</w:t>
      </w:r>
    </w:p>
    <w:p>
      <w:pPr>
        <w:pStyle w:val="ContractList"/>
      </w:pPr>
      <w:r>
        <w:t>— (1) STORNO повторяет доказанные счета и аналитику исходной операции, но сумма записывается со знаком минус.</w:t>
      </w:r>
    </w:p>
    <w:p>
      <w:pPr>
        <w:pStyle w:val="ContractList"/>
      </w:pPr>
      <w:r>
        <w:t>— (1) REPOST отражает ту же экономическую операцию на правильной статье и записывается положительной суммой.</w:t>
      </w:r>
    </w:p>
    <w:p>
      <w:pPr>
        <w:pStyle w:val="ContractList"/>
      </w:pPr>
      <w:r>
        <w:t>— (1) Для парной корректировки абсолютные суммы STORNO и REPOST должны совпадать. После пары общий итог равен нулю.</w:t>
      </w:r>
    </w:p>
    <w:p>
      <w:pPr>
        <w:pStyle w:val="ContractList"/>
      </w:pPr>
      <w:r>
        <w:t>— (1) При доказанном разбиении одной операции на несколько строк допускаются отношения один-к-нескольким и несколько-к-одному, но каждая исходная сумма используется только один раз.</w:t>
      </w:r>
    </w:p>
    <w:p>
      <w:pPr>
        <w:pStyle w:val="ContractList"/>
      </w:pPr>
      <w:r>
        <w:t>— (1) Неизвестные счета, подразделения, аналитики, идентификаторы или иные реквизиты не подставляются предположительно. В спорном файле такие поля остаются пустыми.</w:t>
      </w:r>
    </w:p>
    <w:p>
      <w:pPr>
        <w:pStyle w:val="ContractList"/>
      </w:pPr>
      <w:r>
        <w:t>— (1) Если экономическое направление доказано, но конкретная физическая операция не доказана однозначно, строка может присутствовать только в спорном файле.</w:t>
      </w:r>
    </w:p>
    <w:p>
      <w:pPr>
        <w:pStyle w:val="ContractList"/>
      </w:pPr>
      <w:r>
        <w:t>— (1) В поле «Содержание» не допускаются технические пути, служебные имена или внутренние параметры. Оно должно быть читаемым и объяснять пользователю действие, причину, исходную и целевую классификацию и источник суммы.</w:t>
      </w:r>
    </w:p>
    <w:p>
      <w:pPr>
        <w:pStyle w:val="ContractList"/>
      </w:pPr>
      <w:r>
        <w:t>— (1) Если финансовая дельта отсутствует и требуется только исправление сопоставления или отображения, корректировочный файл не создаётся.</w:t>
      </w:r>
    </w:p>
    <w:p>
      <w:pPr>
        <w:pStyle w:val="Heading1"/>
        <w:keepNext/>
      </w:pPr>
      <w:r>
        <w:t>13. Безопасность и аудит</w:t>
      </w:r>
    </w:p>
    <w:p>
      <w:pPr>
        <w:pStyle w:val="ContractList"/>
      </w:pPr>
      <w:r>
        <w:rPr>
          <w:rFonts w:ascii="Calibri" w:hAnsi="Calibri" w:eastAsia="Calibri"/>
          <w:b/>
          <w:color w:val="1F4E78"/>
          <w:sz w:val="22"/>
        </w:rPr>
        <w:t xml:space="preserve">— </w:t>
      </w:r>
      <w:r>
        <w:rPr>
          <w:rFonts w:ascii="Calibri" w:hAnsi="Calibri" w:eastAsia="Calibri"/>
          <w:color w:val="1F1F1F"/>
          <w:sz w:val="22"/>
        </w:rPr>
        <w:t>По умолчанию режим REPORT_ONLY: проводки не проводятся и не загружаются в 1С.</w:t>
      </w:r>
    </w:p>
    <w:p>
      <w:pPr>
        <w:pStyle w:val="ContractList"/>
      </w:pPr>
      <w:r>
        <w:rPr>
          <w:rFonts w:ascii="Calibri" w:hAnsi="Calibri" w:eastAsia="Calibri"/>
          <w:b/>
          <w:color w:val="1F4E78"/>
          <w:sz w:val="22"/>
        </w:rPr>
        <w:t xml:space="preserve">— </w:t>
      </w:r>
      <w:r>
        <w:rPr>
          <w:rFonts w:ascii="Calibri" w:hAnsi="Calibri" w:eastAsia="Calibri"/>
          <w:color w:val="1F1F1F"/>
          <w:sz w:val="22"/>
        </w:rPr>
        <w:t>Любая финансовая строка содержит источник Инталев, источник ERP и стабильный идентификатор.</w:t>
      </w:r>
    </w:p>
    <w:p>
      <w:pPr>
        <w:pStyle w:val="ContractList"/>
      </w:pPr>
      <w:r>
        <w:rPr>
          <w:rFonts w:ascii="Calibri" w:hAnsi="Calibri" w:eastAsia="Calibri"/>
          <w:b/>
          <w:color w:val="1F4E78"/>
          <w:sz w:val="22"/>
        </w:rPr>
        <w:t xml:space="preserve">— </w:t>
      </w:r>
      <w:r>
        <w:rPr>
          <w:rFonts w:ascii="Calibri" w:hAnsi="Calibri" w:eastAsia="Calibri"/>
          <w:color w:val="1F1F1F"/>
          <w:sz w:val="22"/>
        </w:rPr>
        <w:t>Одна физическая строка не может участвовать в двух корректировках.</w:t>
      </w:r>
    </w:p>
    <w:p>
      <w:pPr>
        <w:pStyle w:val="ContractList"/>
      </w:pPr>
      <w:r>
        <w:rPr>
          <w:rFonts w:ascii="Calibri" w:hAnsi="Calibri" w:eastAsia="Calibri"/>
          <w:b/>
          <w:color w:val="1F4E78"/>
          <w:sz w:val="22"/>
        </w:rPr>
        <w:t xml:space="preserve">— </w:t>
      </w:r>
      <w:r>
        <w:rPr>
          <w:rFonts w:ascii="Calibri" w:hAnsi="Calibri" w:eastAsia="Calibri"/>
          <w:color w:val="1F1F1F"/>
          <w:sz w:val="22"/>
        </w:rPr>
        <w:t>Сумма СТОРНО и РЕПОСТ внутри пары совпадает в точных копейках.</w:t>
      </w:r>
    </w:p>
    <w:p>
      <w:pPr>
        <w:pStyle w:val="ContractList"/>
      </w:pPr>
      <w:r>
        <w:rPr>
          <w:rFonts w:ascii="Calibri" w:hAnsi="Calibri" w:eastAsia="Calibri"/>
          <w:b/>
          <w:color w:val="1F4E78"/>
          <w:sz w:val="22"/>
        </w:rPr>
        <w:t xml:space="preserve">— </w:t>
      </w:r>
      <w:r>
        <w:rPr>
          <w:rFonts w:ascii="Calibri" w:hAnsi="Calibri" w:eastAsia="Calibri"/>
          <w:color w:val="1F1F1F"/>
          <w:sz w:val="22"/>
        </w:rPr>
        <w:t>Общий экономический итог после переклассификации не меняется.</w:t>
      </w:r>
    </w:p>
    <w:p>
      <w:pPr>
        <w:pStyle w:val="ContractList"/>
      </w:pPr>
      <w:r>
        <w:rPr>
          <w:rFonts w:ascii="Calibri" w:hAnsi="Calibri" w:eastAsia="Calibri"/>
          <w:b/>
          <w:color w:val="1F4E78"/>
          <w:sz w:val="22"/>
        </w:rPr>
        <w:t xml:space="preserve">— </w:t>
      </w:r>
      <w:r>
        <w:rPr>
          <w:rFonts w:ascii="Calibri" w:hAnsi="Calibri" w:eastAsia="Calibri"/>
          <w:color w:val="1F1F1F"/>
          <w:sz w:val="22"/>
        </w:rPr>
        <w:t>Неоднозначность не маскируется: она остаётся в отчёте с понятной причиной.</w:t>
      </w:r>
    </w:p>
    <w:p>
      <w:pPr>
        <w:pStyle w:val="ContractList"/>
      </w:pPr>
      <w:r>
        <w:rPr>
          <w:rFonts w:ascii="Calibri" w:hAnsi="Calibri" w:eastAsia="Calibri"/>
          <w:b/>
          <w:color w:val="1F4E78"/>
          <w:sz w:val="22"/>
        </w:rPr>
        <w:t xml:space="preserve">— </w:t>
      </w:r>
      <w:r>
        <w:rPr>
          <w:rFonts w:ascii="Calibri" w:hAnsi="Calibri" w:eastAsia="Calibri"/>
          <w:color w:val="1F1F1F"/>
          <w:sz w:val="22"/>
        </w:rPr>
        <w:t>Исходные файлы не изменяются; рабочие нормализованные копии располагаются отдельно.</w:t>
      </w:r>
    </w:p>
    <w:p>
      <w:pPr>
        <w:pStyle w:val="ContractList"/>
      </w:pPr>
      <w:r>
        <w:rPr>
          <w:rFonts w:ascii="Calibri" w:hAnsi="Calibri" w:eastAsia="Calibri"/>
          <w:b/>
          <w:color w:val="1F4E78"/>
          <w:sz w:val="22"/>
        </w:rPr>
        <w:t xml:space="preserve">— </w:t>
      </w:r>
      <w:r>
        <w:rPr>
          <w:rFonts w:ascii="Calibri" w:hAnsi="Calibri" w:eastAsia="Calibri"/>
          <w:color w:val="1F1F1F"/>
          <w:sz w:val="22"/>
        </w:rPr>
        <w:t>Каждый релиз имеет манифест, SHA-256 и протокол тестирования.</w:t>
      </w:r>
    </w:p>
    <w:p>
      <w:pPr>
        <w:pStyle w:val="Heading1"/>
        <w:keepNext/>
      </w:pPr>
      <w:r>
        <w:t>14. Критерии приёмки</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800"/>
        <w:gridCol w:w="3900"/>
        <w:gridCol w:w="4660"/>
      </w:tblGrid>
      <w:tr>
        <w:trPr>
          <w:tblHeader w:val="true"/>
          <w:cantSplit/>
        </w:trPr>
        <w:tc>
          <w:tcPr>
            <w:tcW w:type="dxa" w:w="8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ID</w:t>
            </w:r>
          </w:p>
        </w:tc>
        <w:tc>
          <w:tcPr>
            <w:tcW w:type="dxa" w:w="39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Проверка</w:t>
            </w:r>
          </w:p>
        </w:tc>
        <w:tc>
          <w:tcPr>
            <w:tcW w:type="dxa" w:w="46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Условие PASS</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Все фактические блоки расходов Инталев присутствуют в 01_Сверка_дерево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Ни один коммерческий/транспортный/складской блок не исчез</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Структуры Инталев и ERP независимы</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Слева фактический путь Инталев, справа исходная структура ERP</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Дельта считается как Инталев − ERP</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Проверка в точных копейках на статье, группе и итоге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Любая итоговая дельта раскрывается внутри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Нет необъяснённого исчезновения суммы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A05</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Серые ERP-строки являются статьями, не операциями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Операции вынесены на журнальные листы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A06</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Журнал ERP найден и привязан к периоду/организации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Статус READY либо честный блокирующий статус</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A07</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Физические строки не используются повторно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Повторы Инталев = 0; повторы ERP = 0</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A08</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Неверная одноимённая статья другой группы даёт СТОРНО/РЕПОСТ</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Источник — фактическая ERP-строка; цель — статья внутри блока Инталев</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A09</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Реестр заранее заполнен движком</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Пользователь видит только остаток НУЖНА ПРОВЕРКА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A10</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Неподтверждённая догадка не становится проводкой</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Проводка требует физического доказательства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Поле Содержание понятно пользователю</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Есть действие, причина и оба источника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Формулы Excel не содержат ошибок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0 значений #REF!, #DIV/0!, #VALUE!, #NAME?, #N/A</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Интерфейс завершает работу</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Индикатор останавливается; файл и папка открываются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Пакет переносим и имеет короткие пути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EXE запускается после распаковки; длинные имена исключены</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A15</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Повторный прогон с тестовым журналом корректировок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Для утверждённых случаев дельты уходят; остаток объяснён или СПОРНО</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A16</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Безопасный быстрый повторный запуск</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Старый экземпляр OPIU и его дерево завершены; точный порт подтверждённо свободен; запущен ровно один новый экземпляр; посторонние процессы не затронуты; после закрытия или формирования результата порт снова свободен</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A17</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01_Правила и начальное заполнение</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Лист находится в XLSX текущей сверки; все обязательные колонки присутствуют; единственная валидная цель получает ПРЕДЛОЖЕНО ДВИЖКОМ, остальные — НУЖНА ПРОВЕРКА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A18</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Пять решений и обязательные поля ИЗМЕНИТЬ</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Принимаются ровно пять решений; шестое отклоняется; ИЗМЕНИТЬ без блока, статьи, кода или комментария не фиксируется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A19</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Проверки и транзакционность фиксации</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Конфликт целей, неизвестный код, чужой блок, пустая организация или неверный ПериодС дают построчную ошибку и не создают частичный approved-файл</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A20</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Версионированный approved JSON</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После v001 создаётся v002; v001 неизменен; схема, DOMAIN\username, область, решения, источники и SHA-256 заполнены; запись атомарна</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A21</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Обратная загрузка, область и приоритет</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Последняя валидная версия применяется только к точной организации, блоку, статье и месяцу; ЗАПРЕТИТЬ блокирует связь; неверный SHA отклоняется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A22</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Утверждение не подменяет физическое доказательство</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Без уникальной строки ERP: 0 готовых STORNO/REPOST и только СПОРНО; с доказанной строкой пара равна по абсолютной сумме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A23</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Отдельное окно утверждений</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Очередь НУЖНА ПРОВЕРКА, пять действий, построчные ошибки и имя созданной approved-версии видимы пользователю</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A24</w:t>
            </w:r>
          </w:p>
        </w:tc>
        <w:tc>
          <w:tcPr>
            <w:tcW w:type="dxa" w:w="3900"/>
            <w:tcMar>
              <w:top w:w="80" w:type="dxa"/>
              <w:start w:w="120" w:type="dxa"/>
              <w:bottom w:w="80" w:type="dxa"/>
              <w:end w:w="120" w:type="dxa"/>
            </w:tcMar>
            <w:vAlign w:val="top"/>
          </w:tcPr>
          <w:p>
            <w:pPr>
              <w:spacing w:after="0"/>
            </w:pPr>
            <w:r>
              <w:rPr>
                <w:rFonts w:ascii="Calibri" w:hAnsi="Calibri" w:eastAsia="Calibri"/>
                <w:color w:val="1F1F1F"/>
                <w:sz w:val="18"/>
              </w:rPr>
              <w:t>Безопасное массовое утверждение</w:t>
            </w:r>
          </w:p>
        </w:tc>
        <w:tc>
          <w:tcPr>
            <w:tcW w:type="dxa" w:w="4660"/>
            <w:tcMar>
              <w:top w:w="80" w:type="dxa"/>
              <w:start w:w="120" w:type="dxa"/>
              <w:bottom w:w="80" w:type="dxa"/>
              <w:end w:w="120" w:type="dxa"/>
            </w:tcMar>
            <w:vAlign w:val="top"/>
          </w:tcPr>
          <w:p>
            <w:pPr>
              <w:spacing w:after="0"/>
            </w:pPr>
            <w:r>
              <w:rPr>
                <w:rFonts w:ascii="Calibri" w:hAnsi="Calibri" w:eastAsia="Calibri"/>
                <w:color w:val="1F1F1F"/>
                <w:sz w:val="18"/>
              </w:rPr>
              <w:t>Утвердить все однозначные меняет только строки с единственной валидной ERP-целью; конфликты и неоднозначные строки остаются НУЖНА ПРОВЕРКА</w:t>
            </w:r>
          </w:p>
        </w:tc>
      </w:tr>
    </w:tbl>
    <w:p>
      <w:pPr>
        <w:pStyle w:val="Heading2"/>
        <w:keepNext/>
      </w:pPr>
      <w:r>
        <w:t>14.1. Обязательные контрольные наборы</w:t>
      </w:r>
    </w:p>
    <w:p>
      <w:pPr>
        <w:pStyle w:val="ContractList"/>
      </w:pPr>
      <w:r>
        <w:rPr>
          <w:rFonts w:ascii="Calibri" w:hAnsi="Calibri" w:eastAsia="Calibri"/>
          <w:b/>
          <w:color w:val="1F4E78"/>
          <w:sz w:val="22"/>
        </w:rPr>
        <w:t xml:space="preserve">— </w:t>
      </w:r>
      <w:r>
        <w:rPr>
          <w:rFonts w:ascii="Calibri" w:hAnsi="Calibri" w:eastAsia="Calibri"/>
          <w:color w:val="1F1F1F"/>
          <w:sz w:val="22"/>
        </w:rPr>
        <w:t>9 Управляющая компания, октябрь 2025: подтверждённый r13 как регрессионный эталон.</w:t>
      </w:r>
    </w:p>
    <w:p>
      <w:pPr>
        <w:pStyle w:val="ContractList"/>
      </w:pPr>
      <w:r>
        <w:rPr>
          <w:rFonts w:ascii="Calibri" w:hAnsi="Calibri" w:eastAsia="Calibri"/>
          <w:b/>
          <w:color w:val="1F4E78"/>
          <w:sz w:val="22"/>
        </w:rPr>
        <w:t xml:space="preserve">— </w:t>
      </w:r>
      <w:r>
        <w:rPr>
          <w:rFonts w:ascii="Calibri" w:hAnsi="Calibri" w:eastAsia="Calibri"/>
          <w:color w:val="1F1F1F"/>
          <w:sz w:val="22"/>
        </w:rPr>
        <w:t>9 Управляющая компания, ноябрь 2025: проверка изменённой структуры и нулевых групп.</w:t>
      </w:r>
    </w:p>
    <w:p>
      <w:pPr>
        <w:pStyle w:val="ContractList"/>
      </w:pPr>
      <w:r>
        <w:rPr>
          <w:rFonts w:ascii="Calibri" w:hAnsi="Calibri" w:eastAsia="Calibri"/>
          <w:b/>
          <w:color w:val="1F4E78"/>
          <w:sz w:val="22"/>
        </w:rPr>
        <w:t xml:space="preserve">— </w:t>
      </w:r>
      <w:r>
        <w:rPr>
          <w:rFonts w:ascii="Calibri" w:hAnsi="Calibri" w:eastAsia="Calibri"/>
          <w:color w:val="1F1F1F"/>
          <w:sz w:val="22"/>
        </w:rPr>
        <w:t>3 Сахалин, январь 2025: коммерческие, транспортные, складские расходы и журнальный поиск.</w:t>
      </w:r>
    </w:p>
    <w:p>
      <w:pPr>
        <w:pStyle w:val="ContractList"/>
      </w:pPr>
      <w:r>
        <w:rPr>
          <w:rFonts w:ascii="Calibri" w:hAnsi="Calibri" w:eastAsia="Calibri"/>
          <w:b/>
          <w:color w:val="1F4E78"/>
          <w:sz w:val="22"/>
        </w:rPr>
        <w:t xml:space="preserve">— </w:t>
      </w:r>
      <w:r>
        <w:rPr>
          <w:rFonts w:ascii="Calibri" w:hAnsi="Calibri" w:eastAsia="Calibri"/>
          <w:color w:val="1F1F1F"/>
          <w:sz w:val="22"/>
        </w:rPr>
        <w:t>Годовой прогон: все доступные месяцы без смешения периодов и организаций.</w:t>
      </w:r>
    </w:p>
    <w:p>
      <w:pPr>
        <w:pStyle w:val="Heading1"/>
        <w:keepNext/>
      </w:pPr>
      <w:r>
        <w:t>15. Решения, которые предлагается утвердить отдельно</w:t>
      </w: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800"/>
        <w:gridCol w:w="3500"/>
        <w:gridCol w:w="5060"/>
      </w:tblGrid>
      <w:tr>
        <w:trPr>
          <w:tblHeader w:val="true"/>
          <w:cantSplit/>
        </w:trPr>
        <w:tc>
          <w:tcPr>
            <w:tcW w:type="dxa" w:w="8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ID</w:t>
            </w:r>
          </w:p>
        </w:tc>
        <w:tc>
          <w:tcPr>
            <w:tcW w:type="dxa" w:w="35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Вопрос</w:t>
            </w:r>
          </w:p>
        </w:tc>
        <w:tc>
          <w:tcPr>
            <w:tcW w:type="dxa" w:w="50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Предлагаемое решение</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D01</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Область утверждённого правила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Организация + блок + статья + дата начала действия</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D02</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Высокая уверенность движка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Предзаполнять и использовать для поиска, но не считать утверждением</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D03</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Утверждение без физической строки</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Разрешает соответствие, но не автоматическую финансовую проводку</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D04</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Односторонняя строка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Создавать только в папке СПОРНО с явной причиной</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D05</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Нулевая группа</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Исключать из межгруппового пересорта только после контроля 0,00</w:t>
            </w:r>
          </w:p>
        </w:tc>
      </w:tr>
      <w:tr>
        <w:trPr>
          <w:cantSplit/>
        </w:trPr>
        <w:tc>
          <w:tcPr>
            <w:tcW w:type="dxa" w:w="800"/>
            <w:tcMar>
              <w:top w:w="80" w:type="dxa"/>
              <w:start w:w="120" w:type="dxa"/>
              <w:bottom w:w="80" w:type="dxa"/>
              <w:end w:w="120" w:type="dxa"/>
            </w:tcMar>
            <w:vAlign w:val="top"/>
          </w:tcPr>
          <w:p>
            <w:pPr>
              <w:spacing w:after="0"/>
            </w:pPr>
            <w:r>
              <w:rPr>
                <w:rFonts w:ascii="Calibri" w:hAnsi="Calibri" w:eastAsia="Calibri"/>
                <w:color w:val="1F1F1F"/>
                <w:sz w:val="18"/>
              </w:rPr>
              <w:t>D06</w:t>
            </w:r>
          </w:p>
        </w:tc>
        <w:tc>
          <w:tcPr>
            <w:tcW w:type="dxa" w:w="3500"/>
            <w:tcMar>
              <w:top w:w="80" w:type="dxa"/>
              <w:start w:w="120" w:type="dxa"/>
              <w:bottom w:w="80" w:type="dxa"/>
              <w:end w:w="120" w:type="dxa"/>
            </w:tcMar>
            <w:vAlign w:val="top"/>
          </w:tcPr>
          <w:p>
            <w:pPr>
              <w:spacing w:after="0"/>
            </w:pPr>
            <w:r>
              <w:rPr>
                <w:rFonts w:ascii="Calibri" w:hAnsi="Calibri" w:eastAsia="Calibri"/>
                <w:color w:val="1F1F1F"/>
                <w:sz w:val="18"/>
              </w:rPr>
              <w:t>Дубликаты документов Операция МСФО</w:t>
            </w:r>
          </w:p>
        </w:tc>
        <w:tc>
          <w:tcPr>
            <w:tcW w:type="dxa" w:w="5060"/>
            <w:tcMar>
              <w:top w:w="80" w:type="dxa"/>
              <w:start w:w="120" w:type="dxa"/>
              <w:bottom w:w="80" w:type="dxa"/>
              <w:end w:w="120" w:type="dxa"/>
            </w:tcMar>
            <w:vAlign w:val="top"/>
          </w:tcPr>
          <w:p>
            <w:pPr>
              <w:spacing w:after="0"/>
            </w:pPr>
            <w:r>
              <w:rPr>
                <w:rFonts w:ascii="Calibri" w:hAnsi="Calibri" w:eastAsia="Calibri"/>
                <w:color w:val="1F1F1F"/>
                <w:sz w:val="18"/>
              </w:rPr>
              <w:t>Не удалять автоматически; показывать отдельным кандидатом с источниками</w:t>
            </w:r>
          </w:p>
        </w:tc>
      </w:tr>
    </w:tbl>
    <w:p>
      <w:pPr>
        <w:pStyle w:val="Heading1"/>
        <w:keepNext/>
      </w:pPr>
      <w:r>
        <w:t>16. Порядок изменений после утверждения</w:t>
      </w:r>
    </w:p>
    <w:p>
      <w:pPr>
        <w:pStyle w:val="ContractList"/>
      </w:pPr>
      <w:r>
        <w:rPr>
          <w:rFonts w:ascii="Calibri" w:hAnsi="Calibri" w:eastAsia="Calibri"/>
          <w:b/>
          <w:color w:val="1F4E78"/>
          <w:sz w:val="22"/>
        </w:rPr>
        <w:t xml:space="preserve">— </w:t>
      </w:r>
      <w:r>
        <w:rPr>
          <w:rFonts w:ascii="Calibri" w:hAnsi="Calibri" w:eastAsia="Calibri"/>
          <w:color w:val="1F1F1F"/>
          <w:sz w:val="22"/>
        </w:rPr>
        <w:t>Любое изменение логики сначала вносится в новую версию этого контракта.</w:t>
      </w:r>
    </w:p>
    <w:p>
      <w:pPr>
        <w:pStyle w:val="ContractList"/>
      </w:pPr>
      <w:r>
        <w:rPr>
          <w:rFonts w:ascii="Calibri" w:hAnsi="Calibri" w:eastAsia="Calibri"/>
          <w:b/>
          <w:color w:val="1F4E78"/>
          <w:sz w:val="22"/>
        </w:rPr>
        <w:t xml:space="preserve">— </w:t>
      </w:r>
      <w:r>
        <w:rPr>
          <w:rFonts w:ascii="Calibri" w:hAnsi="Calibri" w:eastAsia="Calibri"/>
          <w:color w:val="1F1F1F"/>
          <w:sz w:val="22"/>
        </w:rPr>
        <w:t>Код изменяется только после фиксации затрагиваемых требований и тестов.</w:t>
      </w:r>
    </w:p>
    <w:p>
      <w:pPr>
        <w:pStyle w:val="ContractList"/>
      </w:pPr>
      <w:r>
        <w:rPr>
          <w:rFonts w:ascii="Calibri" w:hAnsi="Calibri" w:eastAsia="Calibri"/>
          <w:b/>
          <w:color w:val="1F4E78"/>
          <w:sz w:val="22"/>
        </w:rPr>
        <w:t xml:space="preserve">— </w:t>
      </w:r>
      <w:r>
        <w:rPr>
          <w:rFonts w:ascii="Calibri" w:hAnsi="Calibri" w:eastAsia="Calibri"/>
          <w:color w:val="1F1F1F"/>
          <w:sz w:val="22"/>
        </w:rPr>
        <w:t>Новый релиз не может терять функции, прошедшие предыдущую приёмку.</w:t>
      </w:r>
    </w:p>
    <w:p>
      <w:pPr>
        <w:pStyle w:val="ContractList"/>
      </w:pPr>
      <w:r>
        <w:rPr>
          <w:rFonts w:ascii="Calibri" w:hAnsi="Calibri" w:eastAsia="Calibri"/>
          <w:b/>
          <w:color w:val="1F4E78"/>
          <w:sz w:val="22"/>
        </w:rPr>
        <w:t xml:space="preserve">— </w:t>
      </w:r>
      <w:r>
        <w:rPr>
          <w:rFonts w:ascii="Calibri" w:hAnsi="Calibri" w:eastAsia="Calibri"/>
          <w:color w:val="1F1F1F"/>
          <w:sz w:val="22"/>
        </w:rPr>
        <w:t>Перед выпуском выполняются автоматические тесты, прогон контрольных наборов и визуальная проверка XLSX.</w:t>
      </w:r>
    </w:p>
    <w:p>
      <w:pPr>
        <w:pStyle w:val="ContractList"/>
      </w:pPr>
      <w:r>
        <w:rPr>
          <w:rFonts w:ascii="Calibri" w:hAnsi="Calibri" w:eastAsia="Calibri"/>
          <w:b/>
          <w:color w:val="1F4E78"/>
          <w:sz w:val="22"/>
        </w:rPr>
        <w:t xml:space="preserve">— </w:t>
      </w:r>
      <w:r>
        <w:rPr>
          <w:rFonts w:ascii="Calibri" w:hAnsi="Calibri" w:eastAsia="Calibri"/>
          <w:color w:val="1F1F1F"/>
          <w:sz w:val="22"/>
        </w:rPr>
        <w:t>Релиз сопровождается перечнем изменений, SHA-256 и сравнением с предыдущим релизом.</w:t>
      </w:r>
    </w:p>
    <w:p>
      <w:pPr>
        <w:pStyle w:val="Heading1"/>
        <w:keepNext/>
      </w:pPr>
      <w:r>
        <w:t>17. Лист утверждения</w:t>
      </w:r>
    </w:p>
    <w:tbl>
      <w:tblPr>
        <w:tblW w:type="dxa" w:w="9360"/>
        <w:jc w:val="left"/>
        <w:tblLayout w:type="fixed"/>
        <w:tblLook w:firstColumn="1" w:firstRow="1" w:lastColumn="0" w:lastRow="0" w:noHBand="0" w:noVBand="1" w:val="04A0"/>
        <w:tblInd w:w="120" w:type="dxa"/>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c>
          <w:tcPr>
            <w:tcW w:type="dxa" w:w="9360"/>
            <w:tcMar>
              <w:top w:w="80" w:type="dxa"/>
              <w:start w:w="120" w:type="dxa"/>
              <w:bottom w:w="80" w:type="dxa"/>
              <w:end w:w="120" w:type="dxa"/>
            </w:tcMar>
            <w:vAlign w:val="top"/>
            <w:shd w:fill="FFF2CC"/>
          </w:tcPr>
          <w:p>
            <w:pPr>
              <w:spacing w:after="0"/>
            </w:pPr>
            <w:r>
              <w:rPr>
                <w:rFonts w:ascii="Calibri" w:hAnsi="Calibri" w:eastAsia="Calibri"/>
                <w:b/>
                <w:color w:val="7A5A00"/>
                <w:sz w:val="22"/>
              </w:rPr>
              <w:t xml:space="preserve">Предлагаемый статус. </w:t>
            </w:r>
            <w:r>
              <w:rPr>
                <w:rFonts w:ascii="Calibri" w:hAnsi="Calibri" w:eastAsia="Calibri"/>
                <w:color w:val="1F1F1F"/>
                <w:sz w:val="22"/>
              </w:rPr>
              <w:t>До ответа пользователя все пункты имеют статус ЧЕРНОВИК. Доработка движка продолжается только по утверждённой версии или по явно указанным замечаниям.</w:t>
            </w:r>
          </w:p>
        </w:tc>
      </w:tr>
    </w:tbl>
    <w:p>
      <w:pPr>
        <w:spacing w:after="0"/>
      </w:pPr>
    </w:p>
    <w:tbl>
      <w:tblPr>
        <w:tblW w:type="dxa" w:w="9360"/>
        <w:tblLayout w:type="fixed"/>
        <w:tblLook w:firstColumn="1" w:firstRow="1" w:lastColumn="0" w:lastRow="0" w:noHBand="0" w:noVBand="1" w:val="04A0"/>
        <w:jc w:val="left"/>
        <w:tblInd w:w="120" w:type="dxa"/>
        <w:tblBorders>
          <w:top w:val="single" w:sz="4" w:space="0" w:color="B7C9DD"/>
          <w:left w:val="single" w:sz="4" w:space="0" w:color="B7C9DD"/>
          <w:bottom w:val="single" w:sz="4" w:space="0" w:color="B7C9DD"/>
          <w:right w:val="single" w:sz="4" w:space="0" w:color="B7C9DD"/>
          <w:insideH w:val="single" w:sz="4" w:space="0" w:color="B7C9DD"/>
          <w:insideV w:val="single" w:sz="4" w:space="0" w:color="B7C9DD"/>
        </w:tblBorders>
      </w:tblPr>
      <w:tblGrid>
        <w:gridCol w:w="2400"/>
        <w:gridCol w:w="6960"/>
      </w:tblGrid>
      <w:tr>
        <w:trPr>
          <w:tblHeader w:val="true"/>
          <w:cantSplit/>
        </w:trPr>
        <w:tc>
          <w:tcPr>
            <w:tcW w:type="dxa" w:w="240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Поле</w:t>
            </w:r>
          </w:p>
        </w:tc>
        <w:tc>
          <w:tcPr>
            <w:tcW w:type="dxa" w:w="6960"/>
            <w:tcMar>
              <w:top w:w="80" w:type="dxa"/>
              <w:start w:w="120" w:type="dxa"/>
              <w:bottom w:w="80" w:type="dxa"/>
              <w:end w:w="120" w:type="dxa"/>
            </w:tcMar>
            <w:vAlign w:val="top"/>
            <w:shd w:fill="1F4E78"/>
          </w:tcPr>
          <w:p>
            <w:pPr>
              <w:keepNext/>
              <w:spacing w:after="0"/>
              <w:jc w:val="left"/>
            </w:pPr>
            <w:r>
              <w:rPr>
                <w:rFonts w:ascii="Calibri" w:hAnsi="Calibri" w:eastAsia="Calibri"/>
                <w:b/>
                <w:color w:val="FFFFFF"/>
                <w:sz w:val="19"/>
              </w:rPr>
              <w:t>Заполняет пользователь</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Решение</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Утверждаю / Утверждаю с замечаниями / Не утверждаю</w:t>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Замечания</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Утвердил(а)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Дата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r>
            <w:r>
              <w:br/>
              <w:br/>
            </w:r>
          </w:p>
        </w:tc>
      </w:tr>
      <w:tr>
        <w:trPr>
          <w:cantSplit/>
        </w:trPr>
        <w:tc>
          <w:tcPr>
            <w:tcW w:type="dxa" w:w="2400"/>
            <w:tcMar>
              <w:top w:w="80" w:type="dxa"/>
              <w:start w:w="120" w:type="dxa"/>
              <w:bottom w:w="80" w:type="dxa"/>
              <w:end w:w="120" w:type="dxa"/>
            </w:tcMar>
            <w:vAlign w:val="top"/>
          </w:tcPr>
          <w:p>
            <w:pPr>
              <w:spacing w:after="0"/>
            </w:pPr>
            <w:r>
              <w:rPr>
                <w:rFonts w:ascii="Calibri" w:hAnsi="Calibri" w:eastAsia="Calibri"/>
                <w:color w:val="1F1F1F"/>
                <w:sz w:val="18"/>
              </w:rPr>
              <w:t>Версия контракта</w:t>
            </w:r>
          </w:p>
        </w:tc>
        <w:tc>
          <w:tcPr>
            <w:tcW w:type="dxa" w:w="6960"/>
            <w:tcMar>
              <w:top w:w="80" w:type="dxa"/>
              <w:start w:w="120" w:type="dxa"/>
              <w:bottom w:w="80" w:type="dxa"/>
              <w:end w:w="120" w:type="dxa"/>
            </w:tcMar>
            <w:vAlign w:val="top"/>
          </w:tcPr>
          <w:p>
            <w:pPr>
              <w:spacing w:after="0"/>
            </w:pPr>
            <w:r>
              <w:rPr>
                <w:rFonts w:ascii="Calibri" w:hAnsi="Calibri" w:eastAsia="Calibri"/>
                <w:color w:val="1F1F1F"/>
                <w:sz w:val="18"/>
              </w:rPr>
              <w:t>0.4</w:t>
            </w:r>
            <w:r/>
          </w:p>
        </w:tc>
      </w:tr>
    </w:tbl>
    <w:p>
      <w:pPr>
        <w:pStyle w:val="Heading1"/>
        <w:keepNext/>
      </w:pPr>
      <w:r>
        <w:t>Приложение A. Основные исходные материалы</w:t>
      </w:r>
    </w:p>
    <w:p>
      <w:pPr>
        <w:pStyle w:val="ContractList"/>
      </w:pPr>
      <w:r>
        <w:rPr>
          <w:rFonts w:ascii="Calibri" w:hAnsi="Calibri" w:eastAsia="Calibri"/>
          <w:b/>
          <w:color w:val="1F4E78"/>
          <w:sz w:val="22"/>
        </w:rPr>
        <w:t xml:space="preserve">— </w:t>
      </w:r>
      <w:r>
        <w:rPr>
          <w:rFonts w:ascii="Calibri" w:hAnsi="Calibri" w:eastAsia="Calibri"/>
          <w:color w:val="1F1F1F"/>
          <w:sz w:val="22"/>
        </w:rPr>
        <w:t>подтверждённая сверка 03_Октябрь_2025_ИТОГ_ФЗП_r13.xlsx;</w:t>
      </w:r>
    </w:p>
    <w:p>
      <w:pPr>
        <w:pStyle w:val="ContractList"/>
      </w:pPr>
      <w:r>
        <w:rPr>
          <w:rFonts w:ascii="Calibri" w:hAnsi="Calibri" w:eastAsia="Calibri"/>
          <w:b/>
          <w:color w:val="1F4E78"/>
          <w:sz w:val="22"/>
        </w:rPr>
        <w:t xml:space="preserve">— </w:t>
      </w:r>
      <w:r>
        <w:rPr>
          <w:rFonts w:ascii="Calibri" w:hAnsi="Calibri" w:eastAsia="Calibri"/>
          <w:color w:val="1F1F1F"/>
          <w:sz w:val="22"/>
        </w:rPr>
        <w:t>эталонная сверка 03_Октябрь_2025_ИТОГ_ИСПРАВЛЕННЫЙ_r12.xlsx;</w:t>
      </w:r>
    </w:p>
    <w:p>
      <w:pPr>
        <w:pStyle w:val="ContractList"/>
      </w:pPr>
      <w:r>
        <w:rPr>
          <w:rFonts w:ascii="Calibri" w:hAnsi="Calibri" w:eastAsia="Calibri"/>
          <w:b/>
          <w:color w:val="1F4E78"/>
          <w:sz w:val="22"/>
        </w:rPr>
        <w:t xml:space="preserve">— </w:t>
      </w:r>
      <w:r>
        <w:rPr>
          <w:rFonts w:ascii="Calibri" w:hAnsi="Calibri" w:eastAsia="Calibri"/>
          <w:color w:val="1F1F1F"/>
          <w:sz w:val="22"/>
        </w:rPr>
        <w:t>архив и отчёты Сахалина за январь 2025;</w:t>
      </w:r>
    </w:p>
    <w:p>
      <w:pPr>
        <w:pStyle w:val="ContractList"/>
      </w:pPr>
      <w:r>
        <w:rPr>
          <w:rFonts w:ascii="Calibri" w:hAnsi="Calibri" w:eastAsia="Calibri"/>
          <w:b/>
          <w:color w:val="1F4E78"/>
          <w:sz w:val="22"/>
        </w:rPr>
        <w:t xml:space="preserve">— </w:t>
      </w:r>
      <w:r>
        <w:rPr>
          <w:rFonts w:ascii="Calibri" w:hAnsi="Calibri" w:eastAsia="Calibri"/>
          <w:color w:val="1F1F1F"/>
          <w:sz w:val="22"/>
        </w:rPr>
        <w:t>справочники ОПИУ АНАЛИТИКИ, ОПИУ ФОРМУЛЫ, ПоказателиОтчетов_ОПИУ_ЕРП и StatD_R;</w:t>
      </w:r>
    </w:p>
    <w:p>
      <w:pPr>
        <w:pStyle w:val="ContractList"/>
      </w:pPr>
      <w:r>
        <w:rPr>
          <w:rFonts w:ascii="Calibri" w:hAnsi="Calibri" w:eastAsia="Calibri"/>
          <w:b/>
          <w:color w:val="1F4E78"/>
          <w:sz w:val="22"/>
        </w:rPr>
        <w:t xml:space="preserve">— </w:t>
      </w:r>
      <w:r>
        <w:rPr>
          <w:rFonts w:ascii="Calibri" w:hAnsi="Calibri" w:eastAsia="Calibri"/>
          <w:color w:val="1F1F1F"/>
          <w:sz w:val="22"/>
        </w:rPr>
        <w:t>ОрганизациииерархияЕРП.xlsx;</w:t>
      </w:r>
    </w:p>
    <w:p>
      <w:pPr>
        <w:pStyle w:val="ContractList"/>
      </w:pPr>
      <w:r>
        <w:rPr>
          <w:rFonts w:ascii="Calibri" w:hAnsi="Calibri" w:eastAsia="Calibri"/>
          <w:b/>
          <w:color w:val="1F4E78"/>
          <w:sz w:val="22"/>
        </w:rPr>
        <w:t xml:space="preserve">— </w:t>
      </w:r>
      <w:r>
        <w:rPr>
          <w:rFonts w:ascii="Calibri" w:hAnsi="Calibri" w:eastAsia="Calibri"/>
          <w:color w:val="1F1F1F"/>
          <w:sz w:val="22"/>
        </w:rPr>
        <w:t>реестр соответствий статей Инталев/ERP и журнальные доказательства;</w:t>
      </w:r>
    </w:p>
    <w:p>
      <w:pPr>
        <w:pStyle w:val="ContractList"/>
      </w:pPr>
      <w:r>
        <w:rPr>
          <w:rFonts w:ascii="Calibri" w:hAnsi="Calibri" w:eastAsia="Calibri"/>
          <w:b/>
          <w:color w:val="1F4E78"/>
          <w:sz w:val="22"/>
        </w:rPr>
        <w:t xml:space="preserve">— </w:t>
      </w:r>
      <w:r>
        <w:rPr>
          <w:rFonts w:ascii="Calibri" w:hAnsi="Calibri" w:eastAsia="Calibri"/>
          <w:color w:val="1F1F1F"/>
          <w:sz w:val="22"/>
        </w:rPr>
        <w:t>все требования и примеры, сформулированные пользователем в рабочем диалоге.</w:t>
      </w:r>
    </w:p>
    <w:p>
      <w:pPr>
        <w:pStyle w:val="Heading1"/>
      </w:pPr>
      <w:r>
        <w:t>Приложение B. Обязательное применение контракта и регистрация ошибок</w:t>
      </w:r>
    </w:p>
    <w:p>
      <w:pPr>
        <w:pStyle w:val="ContractList"/>
      </w:pPr>
      <w:r>
        <w:t>— Перед любым изменением кода, сборкой, переносом файлов или тестовым прогоном координатор обязан прочитать текущую версию контракта и указать затрагиваемые требования.</w:t>
      </w:r>
    </w:p>
    <w:p>
      <w:pPr>
        <w:pStyle w:val="ContractList"/>
      </w:pPr>
      <w:r>
        <w:t>— Каждая задача, передаваемая Codex, Spark или агенту, должна содержать путь к текущему контракту, его версию и SHA-256, применимые пункты и проверяемые условия PASS.</w:t>
      </w:r>
    </w:p>
    <w:p>
      <w:pPr>
        <w:pStyle w:val="ContractList"/>
      </w:pPr>
      <w:r>
        <w:t>— Версии контракта неизменяемы. Новое требование или исправление выпускается новой версией; файл CURRENT.md указывает единственную действующую рабочую редакцию.</w:t>
      </w:r>
    </w:p>
    <w:p>
      <w:pPr>
        <w:pStyle w:val="ContractList"/>
      </w:pPr>
      <w:r>
        <w:t>— Каждая ошибка, о которой сообщает пользователь, регистрируется отдельной записью: наблюдаемое поведение, ожидаемое поведение, доказательство, затронутые пункты контракта и обязательный регрессионный тест.</w:t>
      </w:r>
    </w:p>
    <w:p>
      <w:pPr>
        <w:pStyle w:val="ContractList"/>
      </w:pPr>
      <w:r>
        <w:t>— До изменения кода ошибка должна быть отражена в реестре и, если она меняет или уточняет требование, в новой версии контракта. Устное исключение не заменяет зафиксированное требование.</w:t>
      </w:r>
    </w:p>
    <w:p>
      <w:pPr>
        <w:pStyle w:val="ContractList"/>
      </w:pPr>
      <w:r>
        <w:t>— Новая реализация не может отменять ранее принятые функции. При объединении веток и пакетов проверяются все предыдущие условия приёмки, а не только текущая ошибка.</w:t>
      </w:r>
    </w:p>
    <w:p>
      <w:pPr>
        <w:pStyle w:val="ContractList"/>
      </w:pPr>
      <w:r>
        <w:t>— Результат задачи не принимается без доказательства выполнения относящихся к ней пунктов контракта и без сохранённого протокола проверки.</w:t>
      </w:r>
    </w:p>
    <w:p>
      <w:pPr/>
      <w:r>
        <w:rPr>
          <w:rFonts w:ascii="Calibri" w:hAnsi="Calibri" w:eastAsia="Calibri"/>
          <w:i/>
          <w:color w:val="666666"/>
          <w:sz w:val="22"/>
        </w:rPr>
        <w:t>Конец документа.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6666"/>
        <w:sz w:val="18"/>
      </w:rPr>
      <w:t xml:space="preserve">Страница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666666"/>
        <w:sz w:val="18"/>
      </w:rPr>
      <w:t>Функциональный контракт ОПИУ</w:t>
      <w:tab/>
      <w:t>Рабочая редакция v0.4</w:t>
    </w:r>
    <w:r/>
    <w:r>
      <w:rPr>
        <w:rFonts w:ascii="Calibri" w:hAnsi="Calibri" w:eastAsia="Calibri"/>
        <w:color w:val="666666"/>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0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9101">
    <w:abstractNumId w:val="9001"/>
  </w:num>
  <w:abstractNum w:abstractNumId="9002">
    <w:multiLevelType w:val="singleLevel"/>
    <w:lvl w:ilvl="0">
      <w:start w:val="1"/>
      <w:numFmt w:val="decimal"/>
      <w:lvlText w:val="%1."/>
      <w:lvlJc w:val="left"/>
      <w:pPr>
        <w:tabs>
          <w:tab w:val="num" w:pos="540"/>
        </w:tabs>
        <w:ind w:left="540" w:hanging="270"/>
        <w:spacing w:after="80" w:line="300" w:lineRule="auto"/>
      </w:pPr>
    </w:lvl>
  </w:abstractNum>
  <w:num w:numId="9102">
    <w:abstractNumId w:val="90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List">
    <w:name w:val="Contract List"/>
    <w:basedOn w:val="Normal"/>
    <w:pPr>
      <w:widowControl/>
      <w:spacing w:after="80" w:line="300" w:lineRule="auto"/>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Версия 0.4: APPROVAL-001 — полный пользовательский цикл утверждения статей, versioned approved JSON, UI и критерии A17/A18.</dc:description>
  <cp:lastModifiedBy/>
  <cp:revision>1</cp:revision>
  <dcterms:created xsi:type="dcterms:W3CDTF">2013-12-23T23:15:00Z</dcterms:created>
  <dcterms:modified xsi:type="dcterms:W3CDTF">2013-12-23T23:15:00Z</dcterms:modified>
  <cp:category/>
</cp:coreProperties>
</file>