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eastAsia="Arial"/>
          <w:b/>
          <w:color w:val="000000"/>
          <w:sz w:val="46"/>
        </w:rPr>
        <w:t>ФУНКЦИОНАЛЬНЫЙ КОНТРАКТ</w:t>
      </w:r>
    </w:p>
    <w:p>
      <w:pPr>
        <w:spacing w:after="320"/>
      </w:pPr>
      <w:r>
        <w:rPr>
          <w:rFonts w:ascii="Arial" w:hAnsi="Arial" w:eastAsia="Arial"/>
          <w:color w:val="373737"/>
          <w:sz w:val="28"/>
        </w:rPr>
        <w:t>Единый движок ОПИУ: сверка R005 + корректировки R001</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400"/>
        <w:gridCol w:w="6960"/>
      </w:tblGrid>
      <w:tr>
        <w:trPr>
          <w:tblHeader w:val="true"/>
          <w:cantSplit/>
        </w:trPr>
        <w:tc>
          <w:tcPr>
            <w:tcW w:type="dxa" w:w="24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Поле</w:t>
            </w:r>
          </w:p>
        </w:tc>
        <w:tc>
          <w:tcPr>
            <w:tcW w:type="dxa" w:w="69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Значение</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Статус</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Зафиксированная рабочая редакция для разработки; лист утверждения не заполнен</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Версия</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0.5 от 31.08.2026</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Назначение</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Зафиксировать требования до продолжения доработки и исключить повторные откаты</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Не является</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юридическим договором; это функциональный контракт и критерии приёмки продукта</w:t>
            </w:r>
          </w:p>
        </w:tc>
      </w:tr>
    </w:tbl>
    <w:p/>
    <w:tbl>
      <w:tblPr>
        <w:tblW w:type="dxa" w:w="9360"/>
        <w:jc w:val="left"/>
        <w:tblLayout w:type="fixed"/>
        <w:tblLook w:firstColumn="1" w:firstRow="1" w:lastColumn="0" w:lastRow="0" w:noHBand="0" w:noVBand="1" w:val="04A0"/>
        <w:tblInd w:w="120" w:type="dxa"/>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Pr>
      <w:tblGrid>
        <w:gridCol w:w="9360"/>
      </w:tblGrid>
      <w:tr>
        <w:tc>
          <w:tcPr>
            <w:tcW w:type="dxa" w:w="9360"/>
            <w:tcMar>
              <w:top w:w="80" w:type="dxa"/>
              <w:start w:w="120" w:type="dxa"/>
              <w:bottom w:w="80" w:type="dxa"/>
              <w:end w:w="120" w:type="dxa"/>
            </w:tcMar>
            <w:vAlign w:val="top"/>
            <w:shd w:fill="E2F0D9"/>
          </w:tcPr>
          <w:p>
            <w:pPr>
              <w:spacing w:after="0"/>
            </w:pPr>
            <w:r>
              <w:rPr>
                <w:rFonts w:ascii="Calibri" w:hAnsi="Calibri" w:eastAsia="Calibri"/>
                <w:b/>
                <w:color w:val="375623"/>
                <w:sz w:val="22"/>
              </w:rPr>
              <w:t xml:space="preserve">Главный результат. </w:t>
            </w:r>
            <w:r>
              <w:rPr>
                <w:rFonts w:ascii="Calibri" w:hAnsi="Calibri" w:eastAsia="Calibri"/>
                <w:color w:val="1F1F1F"/>
                <w:sz w:val="22"/>
              </w:rPr>
              <w:t>После обработки ERP должен показывать тот же экономический ОПИУ, что и Инталев, но в утверждённой структуре ERP. Все реальные детали сохраняются; расхождения объясняются до физических строк журналов; доказанные ошибки статьи оформляются СТОРНО/РЕПОСТ.</w:t>
            </w:r>
          </w:p>
        </w:tc>
      </w:tr>
    </w:tbl>
    <w:p>
      <w:pPr>
        <w:spacing w:after="0"/>
      </w:pP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c>
          <w:tcPr>
            <w:tcW w:type="dxa" w:w="9360"/>
            <w:tcMar>
              <w:top w:w="80" w:type="dxa"/>
              <w:start w:w="120" w:type="dxa"/>
              <w:bottom w:w="80" w:type="dxa"/>
              <w:end w:w="120" w:type="dxa"/>
            </w:tcMar>
            <w:vAlign w:val="top"/>
            <w:shd w:fill="FCE4D6"/>
          </w:tcPr>
          <w:p>
            <w:pPr>
              <w:spacing w:after="0"/>
            </w:pPr>
            <w:r>
              <w:rPr>
                <w:rFonts w:ascii="Calibri" w:hAnsi="Calibri" w:eastAsia="Calibri"/>
                <w:b/>
                <w:color w:val="9B1C1C"/>
                <w:sz w:val="22"/>
              </w:rPr>
              <w:t xml:space="preserve">Неприкосновенное требование. </w:t>
            </w:r>
            <w:r>
              <w:rPr>
                <w:rFonts w:ascii="Calibri" w:hAnsi="Calibri" w:eastAsia="Calibri"/>
                <w:color w:val="1F1F1F"/>
                <w:sz w:val="22"/>
              </w:rPr>
              <w:t>Коммерческие, административные, транспортные, складские и любые другие фактические блоки расходов из архива Инталев не могут исчезать после подключения журналов, правил, корректировок или новой версии интерфейса.</w:t>
            </w:r>
          </w:p>
        </w:tc>
      </w:tr>
    </w:tbl>
    <w:p>
      <w:pPr>
        <w:spacing w:after="0"/>
      </w:pPr>
    </w:p>
    <w:p>
      <w:pPr>
        <w:pStyle w:val="Heading1"/>
        <w:keepNext/>
      </w:pPr>
      <w:r>
        <w:t>Что пользователь утверждает этим документом</w:t>
      </w:r>
    </w:p>
    <w:p>
      <w:pPr>
        <w:pStyle w:val="ContractList"/>
      </w:pPr>
      <w:r>
        <w:rPr>
          <w:rFonts w:ascii="Calibri" w:hAnsi="Calibri" w:eastAsia="Calibri"/>
          <w:b/>
          <w:color w:val="1F4E78"/>
          <w:sz w:val="22"/>
        </w:rPr>
        <w:t xml:space="preserve">— </w:t>
      </w:r>
      <w:r>
        <w:rPr>
          <w:rFonts w:ascii="Calibri" w:hAnsi="Calibri" w:eastAsia="Calibri"/>
          <w:color w:val="1F1F1F"/>
          <w:sz w:val="22"/>
        </w:rPr>
        <w:t>состав входных файлов и правила их проверки;</w:t>
      </w:r>
    </w:p>
    <w:p>
      <w:pPr>
        <w:pStyle w:val="ContractList"/>
      </w:pPr>
      <w:r>
        <w:rPr>
          <w:rFonts w:ascii="Calibri" w:hAnsi="Calibri" w:eastAsia="Calibri"/>
          <w:b/>
          <w:color w:val="1F4E78"/>
          <w:sz w:val="22"/>
        </w:rPr>
        <w:t xml:space="preserve">— </w:t>
      </w:r>
      <w:r>
        <w:rPr>
          <w:rFonts w:ascii="Calibri" w:hAnsi="Calibri" w:eastAsia="Calibri"/>
          <w:color w:val="1F1F1F"/>
          <w:sz w:val="22"/>
        </w:rPr>
        <w:t>правила построения двух независимых иерархий Инталев и ERP;</w:t>
      </w:r>
    </w:p>
    <w:p>
      <w:pPr>
        <w:pStyle w:val="ContractList"/>
      </w:pPr>
      <w:r>
        <w:rPr>
          <w:rFonts w:ascii="Calibri" w:hAnsi="Calibri" w:eastAsia="Calibri"/>
          <w:b/>
          <w:color w:val="1F4E78"/>
          <w:sz w:val="22"/>
        </w:rPr>
        <w:t xml:space="preserve">— </w:t>
      </w:r>
      <w:r>
        <w:rPr>
          <w:rFonts w:ascii="Calibri" w:hAnsi="Calibri" w:eastAsia="Calibri"/>
          <w:color w:val="1F1F1F"/>
          <w:sz w:val="22"/>
        </w:rPr>
        <w:t>формулу дельты и порядок раскрытия расхождений;</w:t>
      </w:r>
    </w:p>
    <w:p>
      <w:pPr>
        <w:pStyle w:val="ContractList"/>
      </w:pPr>
      <w:r>
        <w:rPr>
          <w:rFonts w:ascii="Calibri" w:hAnsi="Calibri" w:eastAsia="Calibri"/>
          <w:b/>
          <w:color w:val="1F4E78"/>
          <w:sz w:val="22"/>
        </w:rPr>
        <w:t xml:space="preserve">— </w:t>
      </w:r>
      <w:r>
        <w:rPr>
          <w:rFonts w:ascii="Calibri" w:hAnsi="Calibri" w:eastAsia="Calibri"/>
          <w:color w:val="1F1F1F"/>
          <w:sz w:val="22"/>
        </w:rPr>
        <w:t>правила поиска физических операций и формирования СТОРНО/РЕПОСТ;</w:t>
      </w:r>
    </w:p>
    <w:p>
      <w:pPr>
        <w:pStyle w:val="ContractList"/>
      </w:pPr>
      <w:r>
        <w:rPr>
          <w:rFonts w:ascii="Calibri" w:hAnsi="Calibri" w:eastAsia="Calibri"/>
          <w:b/>
          <w:color w:val="1F4E78"/>
          <w:sz w:val="22"/>
        </w:rPr>
        <w:t xml:space="preserve">— </w:t>
      </w:r>
      <w:r>
        <w:rPr>
          <w:rFonts w:ascii="Calibri" w:hAnsi="Calibri" w:eastAsia="Calibri"/>
          <w:color w:val="1F1F1F"/>
          <w:sz w:val="22"/>
        </w:rPr>
        <w:t>порядок пользовательского утверждения сопоставлений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формат выходных файлов, ограничения безопасности и критерии приёмки.</w:t>
      </w:r>
    </w:p>
    <w:p>
      <w:r>
        <w:br w:type="page"/>
      </w:r>
    </w:p>
    <w:p>
      <w:pPr>
        <w:pStyle w:val="Heading1"/>
        <w:keepNext/>
      </w:pPr>
      <w:r>
        <w:t>1. Цель и границы продукта</w:t>
      </w:r>
    </w:p>
    <w:p>
      <w:pPr/>
      <w:r>
        <w:rPr>
          <w:rFonts w:ascii="Calibri" w:hAnsi="Calibri" w:eastAsia="Calibri"/>
          <w:i w:val="0"/>
          <w:color w:val="1F1F1F"/>
          <w:sz w:val="22"/>
        </w:rPr>
        <w:t>Движок объединяет две самостоятельные части: R005 строит доказательную сверку ОПИУ, R001 читает готовую сверку и формирует проекты корректировок. Общий сетевой сервис и Rules Service не требуются.</w:t>
      </w:r>
    </w:p>
    <w:p>
      <w:pPr/>
      <w:r>
        <w:rPr>
          <w:rFonts w:ascii="Calibri" w:hAnsi="Calibri" w:eastAsia="Calibri"/>
          <w:i w:val="0"/>
          <w:color w:val="1F1F1F"/>
          <w:sz w:val="22"/>
        </w:rPr>
        <w:t>Продукт должен работать как переносимый пакет с EXE-файлом. Пользователь выбирает источники, одну организацию верхнего уровня ERP, календарный месяц и папку результата; движок выполняет остальную работу локально.</w:t>
      </w:r>
    </w:p>
    <w:p>
      <w:pPr/>
      <w:r>
        <w:rPr>
          <w:rFonts w:ascii="Calibri" w:hAnsi="Calibri" w:eastAsia="Calibri"/>
          <w:i w:val="0"/>
          <w:color w:val="1F1F1F"/>
          <w:sz w:val="22"/>
        </w:rPr>
        <w:t>Один запуск расчета выполняется за один полный календарный месяц.</w:t>
      </w:r>
    </w:p>
    <w:p>
      <w:pPr>
        <w:pStyle w:val="Heading2"/>
        <w:keepNext/>
      </w:pPr>
      <w:r>
        <w:t>1.1. Что входит</w:t>
      </w:r>
    </w:p>
    <w:p>
      <w:pPr>
        <w:pStyle w:val="ContractList"/>
      </w:pPr>
      <w:r>
        <w:rPr>
          <w:rFonts w:ascii="Calibri" w:hAnsi="Calibri" w:eastAsia="Calibri"/>
          <w:b/>
          <w:color w:val="1F4E78"/>
          <w:sz w:val="22"/>
        </w:rPr>
        <w:t xml:space="preserve">— </w:t>
      </w:r>
      <w:r>
        <w:rPr>
          <w:rFonts w:ascii="Calibri" w:hAnsi="Calibri" w:eastAsia="Calibri"/>
          <w:color w:val="1F1F1F"/>
          <w:sz w:val="22"/>
        </w:rPr>
        <w:t>сверка за один полный календарный месяц в формате YYYY-MM;</w:t>
      </w:r>
    </w:p>
    <w:p>
      <w:pPr>
        <w:pStyle w:val="ContractList"/>
      </w:pPr>
      <w:r>
        <w:rPr>
          <w:rFonts w:ascii="Calibri" w:hAnsi="Calibri" w:eastAsia="Calibri"/>
          <w:b/>
          <w:color w:val="1F4E78"/>
          <w:sz w:val="22"/>
        </w:rPr>
        <w:t xml:space="preserve">— </w:t>
      </w:r>
      <w:r>
        <w:rPr>
          <w:rFonts w:ascii="Calibri" w:hAnsi="Calibri" w:eastAsia="Calibri"/>
          <w:color w:val="1F1F1F"/>
          <w:sz w:val="22"/>
        </w:rPr>
        <w:t>сопоставление полного дерева Инталев с независимой структурой ERP;</w:t>
      </w:r>
    </w:p>
    <w:p>
      <w:pPr>
        <w:pStyle w:val="ContractList"/>
      </w:pPr>
      <w:r>
        <w:rPr>
          <w:rFonts w:ascii="Calibri" w:hAnsi="Calibri" w:eastAsia="Calibri"/>
          <w:b/>
          <w:color w:val="1F4E78"/>
          <w:sz w:val="22"/>
        </w:rPr>
        <w:t xml:space="preserve">— </w:t>
      </w:r>
      <w:r>
        <w:rPr>
          <w:rFonts w:ascii="Calibri" w:hAnsi="Calibri" w:eastAsia="Calibri"/>
          <w:color w:val="1F1F1F"/>
          <w:sz w:val="22"/>
        </w:rPr>
        <w:t>раскрытие сумм до статей, деталей и физических проводок;</w:t>
      </w:r>
    </w:p>
    <w:p>
      <w:pPr>
        <w:pStyle w:val="ContractList"/>
      </w:pPr>
      <w:r>
        <w:rPr>
          <w:rFonts w:ascii="Calibri" w:hAnsi="Calibri" w:eastAsia="Calibri"/>
          <w:b/>
          <w:color w:val="1F4E78"/>
          <w:sz w:val="22"/>
        </w:rPr>
        <w:t xml:space="preserve">— </w:t>
      </w:r>
      <w:r>
        <w:rPr>
          <w:rFonts w:ascii="Calibri" w:hAnsi="Calibri" w:eastAsia="Calibri"/>
          <w:color w:val="1F1F1F"/>
          <w:sz w:val="22"/>
        </w:rPr>
        <w:t>настройка пользовательских групп с нулевой дельтой;</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автоматические предположения по соответствию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реестр утверждения сопоставлений;</w:t>
      </w:r>
    </w:p>
    <w:p>
      <w:pPr>
        <w:pStyle w:val="ContractList"/>
      </w:pPr>
      <w:r>
        <w:rPr>
          <w:rFonts w:ascii="Calibri" w:hAnsi="Calibri" w:eastAsia="Calibri"/>
          <w:b/>
          <w:color w:val="1F4E78"/>
          <w:sz w:val="22"/>
        </w:rPr>
        <w:t xml:space="preserve">— </w:t>
      </w:r>
      <w:r>
        <w:rPr>
          <w:rFonts w:ascii="Calibri" w:hAnsi="Calibri" w:eastAsia="Calibri"/>
          <w:color w:val="1F1F1F"/>
          <w:sz w:val="22"/>
        </w:rPr>
        <w:t>проекты парных СТОРНО/РЕПОСТ и допустимых односторонних строк СПОРНО;</w:t>
      </w:r>
    </w:p>
    <w:p>
      <w:pPr>
        <w:pStyle w:val="ContractList"/>
      </w:pPr>
      <w:r>
        <w:rPr>
          <w:rFonts w:ascii="Calibri" w:hAnsi="Calibri" w:eastAsia="Calibri"/>
          <w:b/>
          <w:color w:val="1F4E78"/>
          <w:sz w:val="22"/>
        </w:rPr>
        <w:t xml:space="preserve">— </w:t>
      </w:r>
      <w:r>
        <w:rPr>
          <w:rFonts w:ascii="Calibri" w:hAnsi="Calibri" w:eastAsia="Calibri"/>
          <w:color w:val="1F1F1F"/>
          <w:sz w:val="22"/>
        </w:rPr>
        <w:t>контроль повторного использования строк и контроль сохранения общей суммы.</w:t>
      </w:r>
    </w:p>
    <w:p>
      <w:pPr>
        <w:pStyle w:val="Heading2"/>
        <w:keepNext/>
      </w:pPr>
      <w:r>
        <w:t>1.2. Что не входит</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автоматическая загрузка или проведение документов в 1С;</w:t>
      </w:r>
    </w:p>
    <w:p>
      <w:pPr>
        <w:pStyle w:val="ContractList"/>
      </w:pPr>
      <w:r>
        <w:rPr>
          <w:rFonts w:ascii="Calibri" w:hAnsi="Calibri" w:eastAsia="Calibri"/>
          <w:b/>
          <w:color w:val="1F4E78"/>
          <w:sz w:val="22"/>
        </w:rPr>
        <w:t xml:space="preserve">— </w:t>
      </w:r>
      <w:r>
        <w:rPr>
          <w:rFonts w:ascii="Calibri" w:hAnsi="Calibri" w:eastAsia="Calibri"/>
          <w:color w:val="1F1F1F"/>
          <w:sz w:val="22"/>
        </w:rPr>
        <w:t>удаление исходных операций ERP;</w:t>
      </w:r>
    </w:p>
    <w:p>
      <w:pPr>
        <w:pStyle w:val="ContractList"/>
      </w:pPr>
      <w:r>
        <w:rPr>
          <w:rFonts w:ascii="Calibri" w:hAnsi="Calibri" w:eastAsia="Calibri"/>
          <w:b/>
          <w:color w:val="1F4E78"/>
          <w:sz w:val="22"/>
        </w:rPr>
        <w:t xml:space="preserve">— </w:t>
      </w:r>
      <w:r>
        <w:rPr>
          <w:rFonts w:ascii="Calibri" w:hAnsi="Calibri" w:eastAsia="Calibri"/>
          <w:color w:val="1F1F1F"/>
          <w:sz w:val="22"/>
        </w:rPr>
        <w:t>скрытое применение внешнего сервиса правил;</w:t>
      </w:r>
    </w:p>
    <w:p>
      <w:pPr>
        <w:pStyle w:val="ContractList"/>
      </w:pPr>
      <w:r>
        <w:rPr>
          <w:rFonts w:ascii="Calibri" w:hAnsi="Calibri" w:eastAsia="Calibri"/>
          <w:b/>
          <w:color w:val="1F4E78"/>
          <w:sz w:val="22"/>
        </w:rPr>
        <w:t xml:space="preserve">— </w:t>
      </w:r>
      <w:r>
        <w:rPr>
          <w:rFonts w:ascii="Calibri" w:hAnsi="Calibri" w:eastAsia="Calibri"/>
          <w:color w:val="1F1F1F"/>
          <w:sz w:val="22"/>
        </w:rPr>
        <w:t>объединение деревьев Инталев и ERP в одну искусственную структуру;</w:t>
      </w:r>
    </w:p>
    <w:p>
      <w:pPr>
        <w:pStyle w:val="ContractList"/>
      </w:pPr>
      <w:r>
        <w:rPr>
          <w:rFonts w:ascii="Calibri" w:hAnsi="Calibri" w:eastAsia="Calibri"/>
          <w:b/>
          <w:color w:val="1F4E78"/>
          <w:sz w:val="22"/>
        </w:rPr>
        <w:t xml:space="preserve">— </w:t>
      </w:r>
      <w:r>
        <w:rPr>
          <w:rFonts w:ascii="Calibri" w:hAnsi="Calibri" w:eastAsia="Calibri"/>
          <w:color w:val="1F1F1F"/>
          <w:sz w:val="22"/>
        </w:rPr>
        <w:t>создание финансовой проводки только по похожему названию или приблизительной сумме.</w:t>
      </w:r>
    </w:p>
    <w:p>
      <w:pPr>
        <w:pStyle w:val="ContractList"/>
      </w:pPr>
      <w:r>
        <w:rPr>
          <w:rFonts w:ascii="Calibri" w:hAnsi="Calibri" w:eastAsia="Calibri"/>
          <w:b/>
          <w:color w:val="1F4E78"/>
          <w:sz w:val="22"/>
        </w:rPr>
        <w:t xml:space="preserve">— </w:t>
      </w:r>
      <w:r>
        <w:rPr>
          <w:rFonts w:ascii="Calibri" w:hAnsi="Calibri" w:eastAsia="Calibri"/>
          <w:color w:val="1F1F1F"/>
          <w:sz w:val="22"/>
        </w:rPr>
        <w:t>расчёт за квартал, год или произвольный диапазон из нескольких месяцев в одном запуске;</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автоматический годовой fan-out внутри R17.</w:t>
      </w:r>
    </w:p>
    <w:p>
      <w:pPr>
        <w:pStyle w:val="Heading1"/>
        <w:keepNext/>
      </w:pPr>
      <w:r>
        <w:t>2. Понятия</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300"/>
        <w:gridCol w:w="7060"/>
      </w:tblGrid>
      <w:tr>
        <w:trPr>
          <w:tblHeader w:val="true"/>
          <w:cantSplit/>
        </w:trPr>
        <w:tc>
          <w:tcPr>
            <w:tcW w:type="dxa" w:w="23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Термин</w:t>
            </w:r>
          </w:p>
        </w:tc>
        <w:tc>
          <w:tcPr>
            <w:tcW w:type="dxa" w:w="70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Простое определение</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Инталев</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Источник управленческого ОПИУ, его фактической иерархии и журнала/архива операций.</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ERP</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Источник исходной структуры ОПИУ ERP, справочника статей БДР и журнала проводок МСФО.</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Статья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Элемент справочника или строка ОПИУ. Статья не является физической операцией.</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Физическая операция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Конкретная строка журнала с датой, документом, номером строки, счетами, суммой, организацией, статьёй и аналитиками.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Дельта</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Инталев минус ERP для одной сопоставленной строки или группы.</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Нераскрытая дельта</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Остаток дельты родительской группы, который не объяснён показанными дочерними строками.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СТОРНО</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Обратная строка по ошибочной физической проводке ERP.</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РЕПОСТ</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Повтор той же операции с правильной статьёй ERP внутри нужного блока.</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СПОРНО</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Проект строки для проверки, когда одной стороны или полного доказательства пока нет.</w:t>
            </w:r>
          </w:p>
        </w:tc>
      </w:tr>
    </w:tbl>
    <w:p>
      <w:pPr>
        <w:pStyle w:val="Heading1"/>
        <w:keepNext/>
      </w:pPr>
      <w:r>
        <w:t>3. Входные данные</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000"/>
        <w:gridCol w:w="2500"/>
        <w:gridCol w:w="4860"/>
      </w:tblGrid>
      <w:tr>
        <w:trPr>
          <w:tblHeader w:val="true"/>
          <w:cantSplit/>
        </w:trPr>
        <w:tc>
          <w:tcPr>
            <w:tcW w:type="dxa" w:w="20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Вход</w:t>
            </w:r>
          </w:p>
        </w:tc>
        <w:tc>
          <w:tcPr>
            <w:tcW w:type="dxa" w:w="25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Форма</w:t>
            </w:r>
          </w:p>
        </w:tc>
        <w:tc>
          <w:tcPr>
            <w:tcW w:type="dxa" w:w="48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Для чего нужен</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Архив Инталев</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ZIP или совместимый Excel/папка</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ОПИУ, классификатор статей, доступные журналы и полный путь иерархии выбранного месяца; годовой архив допустим как контейнер</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Источник ERP</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ZIP, Excel или подготовленная папка</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ОПИУ ERP и журнал проводок МСФО выбранного месяца; для корректировок журнал обязателен; годовой файл или ZIP допустим как контейнер</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Период</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YYYY-MM</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Ровно один полный календарный месяц; год, квартал и диапазон отклоняются</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Организация</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Верхний уровень ERP</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Например: 1 Хабаровск, 3 Сахалин, 9 Управляющая компания</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Справочники ERP</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Показатели, формулы, аналитики, StatD_R</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Определяют структуру и коды статей ERP</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Реестр утверждений</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Локальный XLSX/JSON</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Хранит подтверждённые и запрещённые соответствия</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Группы нулевой дельты</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Локальный CSV/настройка интерфейса</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Отдельные выбранные блоки Инталев и ERP</w:t>
            </w:r>
          </w:p>
        </w:tc>
      </w:tr>
    </w:tbl>
    <w:p>
      <w:pPr>
        <w:pStyle w:val="Heading2"/>
        <w:keepNext/>
      </w:pPr>
      <w:r>
        <w:t>3.1. Обязательная проверка источников</w:t>
      </w:r>
    </w:p>
    <w:p>
      <w:pPr>
        <w:pStyle w:val="ContractList"/>
      </w:pPr>
      <w:r>
        <w:rPr>
          <w:rFonts w:ascii="Calibri" w:hAnsi="Calibri" w:eastAsia="Calibri"/>
          <w:b/>
          <w:color w:val="1F4E78"/>
          <w:sz w:val="22"/>
        </w:rPr>
        <w:t xml:space="preserve">— </w:t>
      </w:r>
      <w:r>
        <w:rPr>
          <w:rFonts w:ascii="Calibri" w:hAnsi="Calibri" w:eastAsia="Calibri"/>
          <w:color w:val="1F1F1F"/>
          <w:sz w:val="22"/>
        </w:rPr>
        <w:t>Один и тот же путь нельзя одновременно использовать как Инталев и ERP.</w:t>
      </w:r>
    </w:p>
    <w:p>
      <w:pPr>
        <w:pStyle w:val="ContractList"/>
      </w:pPr>
      <w:r>
        <w:rPr>
          <w:rFonts w:ascii="Calibri" w:hAnsi="Calibri" w:eastAsia="Calibri"/>
          <w:b/>
          <w:color w:val="1F4E78"/>
          <w:sz w:val="22"/>
        </w:rPr>
        <w:t xml:space="preserve">— </w:t>
      </w:r>
      <w:r>
        <w:rPr>
          <w:rFonts w:ascii="Calibri" w:hAnsi="Calibri" w:eastAsia="Calibri"/>
          <w:color w:val="1F1F1F"/>
          <w:sz w:val="22"/>
        </w:rPr>
        <w:t>Организации в Инталев и ERP должны соответствовать выбранному верхнему уровню.</w:t>
      </w:r>
    </w:p>
    <w:p>
      <w:pPr>
        <w:pStyle w:val="ContractList"/>
      </w:pPr>
      <w:r>
        <w:rPr>
          <w:rFonts w:ascii="Calibri" w:hAnsi="Calibri" w:eastAsia="Calibri"/>
          <w:b/>
          <w:color w:val="1F4E78"/>
          <w:sz w:val="22"/>
        </w:rPr>
        <w:t xml:space="preserve">— </w:t>
      </w:r>
      <w:r>
        <w:rPr>
          <w:rFonts w:ascii="Calibri" w:hAnsi="Calibri" w:eastAsia="Calibri"/>
          <w:color w:val="1F1F1F"/>
          <w:sz w:val="22"/>
        </w:rPr>
        <w:t>Для выбранного полного календарного месяца должен быть найден ровно один внутренний заголовок периода; каждая доказательная строка должна относиться к этому месяцу.</w:t>
      </w:r>
    </w:p>
    <w:p>
      <w:pPr>
        <w:pStyle w:val="ContractList"/>
      </w:pPr>
      <w:r>
        <w:rPr>
          <w:rFonts w:ascii="Calibri" w:hAnsi="Calibri" w:eastAsia="Calibri"/>
          <w:b/>
          <w:color w:val="1F4E78"/>
          <w:sz w:val="22"/>
        </w:rPr>
        <w:t xml:space="preserve">— </w:t>
      </w:r>
      <w:r>
        <w:rPr>
          <w:rFonts w:ascii="Calibri" w:hAnsi="Calibri" w:eastAsia="Calibri"/>
          <w:color w:val="1F1F1F"/>
          <w:sz w:val="22"/>
        </w:rPr>
        <w:t>Журнал ERP определяется не только по имени файла, но и по обязательным колонкам.</w:t>
      </w:r>
    </w:p>
    <w:p>
      <w:pPr>
        <w:pStyle w:val="ContractList"/>
      </w:pPr>
      <w:r>
        <w:rPr>
          <w:rFonts w:ascii="Calibri" w:hAnsi="Calibri" w:eastAsia="Calibri"/>
          <w:b/>
          <w:color w:val="1F4E78"/>
          <w:sz w:val="22"/>
        </w:rPr>
        <w:t xml:space="preserve">— </w:t>
      </w:r>
      <w:r>
        <w:rPr>
          <w:rFonts w:ascii="Calibri" w:hAnsi="Calibri" w:eastAsia="Calibri"/>
          <w:color w:val="1F1F1F"/>
          <w:sz w:val="22"/>
        </w:rPr>
        <w:t>Старые XLS и нестандартные имена нормализуются в рабочей копии; исходник не изменяется.</w:t>
      </w:r>
    </w:p>
    <w:p>
      <w:pPr>
        <w:pStyle w:val="ContractList"/>
      </w:pPr>
      <w:r>
        <w:rPr>
          <w:rFonts w:ascii="Calibri" w:hAnsi="Calibri" w:eastAsia="Calibri"/>
          <w:b/>
          <w:color w:val="1F4E78"/>
          <w:sz w:val="22"/>
        </w:rPr>
        <w:t xml:space="preserve">— </w:t>
      </w:r>
      <w:r>
        <w:rPr>
          <w:rFonts w:ascii="Calibri" w:hAnsi="Calibri" w:eastAsia="Calibri"/>
          <w:color w:val="1F1F1F"/>
          <w:sz w:val="22"/>
        </w:rPr>
        <w:t>При неоднозначности движок останавливает финансовую часть, но сохраняет диагностический отчёт.</w:t>
      </w:r>
    </w:p>
    <w:p>
      <w:pPr>
        <w:pStyle w:val="Heading2"/>
        <w:keepNext/>
      </w:pPr>
      <w:r>
        <w:t>3.2. Область календарного месяца</w:t>
      </w:r>
    </w:p>
    <w:p>
      <w:pPr/>
      <w:r>
        <w:rPr>
          <w:rFonts w:ascii="Calibri" w:hAnsi="Calibri" w:eastAsia="Calibri"/>
          <w:i w:val="0"/>
          <w:color w:val="1F1F1F"/>
          <w:sz w:val="22"/>
        </w:rPr>
        <w:t>Один расчёт имеет ровно одну организацию верхнего уровня ERP и ровно один полный календарный месяц.</w:t>
      </w:r>
    </w:p>
    <w:p>
      <w:pPr>
        <w:pStyle w:val="ContractList"/>
      </w:pPr>
      <w:r>
        <w:rPr>
          <w:rFonts w:ascii="Calibri" w:hAnsi="Calibri" w:eastAsia="Calibri"/>
          <w:b/>
          <w:color w:val="1F4E78"/>
          <w:sz w:val="22"/>
        </w:rPr>
        <w:t xml:space="preserve">— </w:t>
      </w:r>
      <w:r>
        <w:rPr>
          <w:rFonts w:ascii="Calibri" w:hAnsi="Calibri" w:eastAsia="Calibri"/>
          <w:color w:val="1F1F1F"/>
          <w:sz w:val="22"/>
        </w:rPr>
        <w:t>Единственный допустимый формат периода расчёта — YYYY-MM.</w:t>
      </w:r>
    </w:p>
    <w:p>
      <w:pPr>
        <w:pStyle w:val="ContractList"/>
      </w:pPr>
      <w:r>
        <w:rPr>
          <w:rFonts w:ascii="Calibri" w:hAnsi="Calibri" w:eastAsia="Calibri"/>
          <w:b/>
          <w:color w:val="1F4E78"/>
          <w:sz w:val="22"/>
        </w:rPr>
        <w:t xml:space="preserve">— </w:t>
      </w:r>
      <w:r>
        <w:rPr>
          <w:rFonts w:ascii="Calibri" w:hAnsi="Calibri" w:eastAsia="Calibri"/>
          <w:color w:val="1F1F1F"/>
          <w:sz w:val="22"/>
        </w:rPr>
        <w:t>Значение YYYY не является областью расчёта и должно быть отклонено.</w:t>
      </w:r>
    </w:p>
    <w:p>
      <w:pPr>
        <w:pStyle w:val="ContractList"/>
      </w:pPr>
      <w:r>
        <w:rPr>
          <w:rFonts w:ascii="Calibri" w:hAnsi="Calibri" w:eastAsia="Calibri"/>
          <w:b/>
          <w:color w:val="1F4E78"/>
          <w:sz w:val="22"/>
        </w:rPr>
        <w:t xml:space="preserve">— </w:t>
      </w:r>
      <w:r>
        <w:rPr>
          <w:rFonts w:ascii="Calibri" w:hAnsi="Calibri" w:eastAsia="Calibri"/>
          <w:color w:val="1F1F1F"/>
          <w:sz w:val="22"/>
        </w:rPr>
        <w:t>Значение YYYY-QN не является областью расчёта и должно быть отклонено.</w:t>
      </w:r>
    </w:p>
    <w:p>
      <w:pPr>
        <w:pStyle w:val="ContractList"/>
      </w:pPr>
      <w:r>
        <w:rPr>
          <w:rFonts w:ascii="Calibri" w:hAnsi="Calibri" w:eastAsia="Calibri"/>
          <w:b/>
          <w:color w:val="1F4E78"/>
          <w:sz w:val="22"/>
        </w:rPr>
        <w:t xml:space="preserve">— </w:t>
      </w:r>
      <w:r>
        <w:rPr>
          <w:rFonts w:ascii="Calibri" w:hAnsi="Calibri" w:eastAsia="Calibri"/>
          <w:color w:val="1F1F1F"/>
          <w:sz w:val="22"/>
        </w:rPr>
        <w:t>Произвольный диапазон дат или нескольких месяцев не является областью расчёта и должен быть отклонён.</w:t>
      </w:r>
    </w:p>
    <w:p>
      <w:pPr>
        <w:pStyle w:val="ContractList"/>
      </w:pPr>
      <w:r>
        <w:rPr>
          <w:rFonts w:ascii="Calibri" w:hAnsi="Calibri" w:eastAsia="Calibri"/>
          <w:b/>
          <w:color w:val="1F4E78"/>
          <w:sz w:val="22"/>
        </w:rPr>
        <w:t xml:space="preserve">— </w:t>
      </w:r>
      <w:r>
        <w:rPr>
          <w:rFonts w:ascii="Calibri" w:hAnsi="Calibri" w:eastAsia="Calibri"/>
          <w:color w:val="1F1F1F"/>
          <w:sz w:val="22"/>
        </w:rPr>
        <w:t>Годовой файл или ZIP Инталев/ERP допускается только как исходный контейнер, если выбранный месяц детерминированно извлекается из содержимого источника и все доказательства ограничены этим месяцем.</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Автоматического годового fan-out в R17 нет. Для обработки года пользователь последовательно запускает независимые расчёты YYYY-01, YYYY-02, …, YYYY-12.</w:t>
      </w:r>
    </w:p>
    <w:p>
      <w:pPr>
        <w:pStyle w:val="ContractList"/>
      </w:pPr>
      <w:r>
        <w:rPr>
          <w:rFonts w:ascii="Calibri" w:hAnsi="Calibri" w:eastAsia="Calibri"/>
          <w:b/>
          <w:color w:val="1F4E78"/>
          <w:sz w:val="22"/>
        </w:rPr>
        <w:t xml:space="preserve">— </w:t>
      </w:r>
      <w:r>
        <w:rPr>
          <w:rFonts w:ascii="Calibri" w:hAnsi="Calibri" w:eastAsia="Calibri"/>
          <w:color w:val="1F1F1F"/>
          <w:sz w:val="22"/>
        </w:rPr>
        <w:t>Каждый месячный запуск имеет независимые организацию, период, доказательства R005, SourceRowID/provenance, handoff, результат R001 и область утверждений.</w:t>
      </w:r>
    </w:p>
    <w:p>
      <w:pPr>
        <w:pStyle w:val="ContractList"/>
      </w:pPr>
      <w:r>
        <w:rPr>
          <w:rFonts w:ascii="Calibri" w:hAnsi="Calibri" w:eastAsia="Calibri"/>
          <w:b/>
          <w:color w:val="1F4E78"/>
          <w:sz w:val="22"/>
        </w:rPr>
        <w:t xml:space="preserve">— </w:t>
      </w:r>
      <w:r>
        <w:rPr>
          <w:rFonts w:ascii="Calibri" w:hAnsi="Calibri" w:eastAsia="Calibri"/>
          <w:color w:val="1F1F1F"/>
          <w:sz w:val="22"/>
        </w:rPr>
        <w:t>Между месяцами запрещены взаимозачёт расхождений, связывание доказательств и некорректное повторное использование физической строки ERP.</w:t>
      </w:r>
    </w:p>
    <w:p>
      <w:pPr>
        <w:pStyle w:val="Heading1"/>
        <w:keepNext/>
      </w:pPr>
      <w:r>
        <w:t>4. Контракт иерархий</w:t>
      </w:r>
    </w:p>
    <w:tbl>
      <w:tblPr>
        <w:tblW w:type="dxa" w:w="9360"/>
        <w:jc w:val="left"/>
        <w:tblLayout w:type="fixed"/>
        <w:tblLook w:firstColumn="1" w:firstRow="1" w:lastColumn="0" w:lastRow="0" w:noHBand="0" w:noVBand="1" w:val="04A0"/>
        <w:tblInd w:w="12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360"/>
      </w:tblGrid>
      <w:tr>
        <w:tc>
          <w:tcPr>
            <w:tcW w:type="dxa" w:w="9360"/>
            <w:tcMar>
              <w:top w:w="80" w:type="dxa"/>
              <w:start w:w="120" w:type="dxa"/>
              <w:bottom w:w="80" w:type="dxa"/>
              <w:end w:w="120" w:type="dxa"/>
            </w:tcMar>
            <w:vAlign w:val="top"/>
            <w:shd w:fill="E8EEF5"/>
          </w:tcPr>
          <w:p>
            <w:pPr>
              <w:spacing w:after="0"/>
            </w:pPr>
            <w:r>
              <w:rPr>
                <w:rFonts w:ascii="Calibri" w:hAnsi="Calibri" w:eastAsia="Calibri"/>
                <w:b/>
                <w:color w:val="1F4E78"/>
                <w:sz w:val="22"/>
              </w:rPr>
              <w:t xml:space="preserve">Правило двух деревьев. </w:t>
            </w:r>
            <w:r>
              <w:rPr>
                <w:rFonts w:ascii="Calibri" w:hAnsi="Calibri" w:eastAsia="Calibri"/>
                <w:color w:val="1F1F1F"/>
                <w:sz w:val="22"/>
              </w:rPr>
              <w:t>Слева всегда показывается фактическая структура из выбранного архива Инталев. Справа всегда используется исходная структура ERP как в API/выгрузке. Деревья сравниваются, но не подменяют друг друга.</w:t>
            </w:r>
          </w:p>
        </w:tc>
      </w:tr>
    </w:tbl>
    <w:p>
      <w:pPr>
        <w:spacing w:after="0"/>
      </w:pPr>
    </w:p>
    <w:p>
      <w:pPr>
        <w:pStyle w:val="Heading2"/>
        <w:keepNext/>
      </w:pPr>
      <w:r>
        <w:t>4.1. Иерархия Инталев</w:t>
      </w:r>
    </w:p>
    <w:p>
      <w:pPr>
        <w:pStyle w:val="ContractList"/>
      </w:pPr>
      <w:r>
        <w:rPr>
          <w:rFonts w:ascii="Calibri" w:hAnsi="Calibri" w:eastAsia="Calibri"/>
          <w:b/>
          <w:color w:val="1F4E78"/>
          <w:sz w:val="22"/>
        </w:rPr>
        <w:t xml:space="preserve">— </w:t>
      </w:r>
      <w:r>
        <w:rPr>
          <w:rFonts w:ascii="Calibri" w:hAnsi="Calibri" w:eastAsia="Calibri"/>
          <w:color w:val="1F1F1F"/>
          <w:sz w:val="22"/>
        </w:rPr>
        <w:t>Строится по фактическому полному пути, UUID и UUID родителя.</w:t>
      </w:r>
    </w:p>
    <w:p>
      <w:pPr>
        <w:pStyle w:val="ContractList"/>
      </w:pPr>
      <w:r>
        <w:rPr>
          <w:rFonts w:ascii="Calibri" w:hAnsi="Calibri" w:eastAsia="Calibri"/>
          <w:b/>
          <w:color w:val="1F4E78"/>
          <w:sz w:val="22"/>
        </w:rPr>
        <w:t xml:space="preserve">— </w:t>
      </w:r>
      <w:r>
        <w:rPr>
          <w:rFonts w:ascii="Calibri" w:hAnsi="Calibri" w:eastAsia="Calibri"/>
          <w:color w:val="1F1F1F"/>
          <w:sz w:val="22"/>
        </w:rPr>
        <w:t>Использует поля Наименование, ПолныйПуть, ПометкаУдаления и реквизит Статьи БДР.</w:t>
      </w:r>
    </w:p>
    <w:p>
      <w:pPr>
        <w:pStyle w:val="ContractList"/>
      </w:pPr>
      <w:r>
        <w:rPr>
          <w:rFonts w:ascii="Calibri" w:hAnsi="Calibri" w:eastAsia="Calibri"/>
          <w:b/>
          <w:color w:val="1F4E78"/>
          <w:sz w:val="22"/>
        </w:rPr>
        <w:t xml:space="preserve">— </w:t>
      </w:r>
      <w:r>
        <w:rPr>
          <w:rFonts w:ascii="Calibri" w:hAnsi="Calibri" w:eastAsia="Calibri"/>
          <w:color w:val="1F1F1F"/>
          <w:sz w:val="22"/>
        </w:rPr>
        <w:t>Числовой префикс блока сохраняется для показа, но не мешает сопоставлению названия.</w:t>
      </w:r>
    </w:p>
    <w:p>
      <w:pPr>
        <w:pStyle w:val="ContractList"/>
      </w:pPr>
      <w:r>
        <w:rPr>
          <w:rFonts w:ascii="Calibri" w:hAnsi="Calibri" w:eastAsia="Calibri"/>
          <w:b/>
          <w:color w:val="1F4E78"/>
          <w:sz w:val="22"/>
        </w:rPr>
        <w:t xml:space="preserve">— </w:t>
      </w:r>
      <w:r>
        <w:rPr>
          <w:rFonts w:ascii="Calibri" w:hAnsi="Calibri" w:eastAsia="Calibri"/>
          <w:color w:val="1F1F1F"/>
          <w:sz w:val="22"/>
        </w:rPr>
        <w:t>Пустые статьи и техническая допаналитика остаются в своём фактическом месте.</w:t>
      </w:r>
    </w:p>
    <w:p>
      <w:pPr>
        <w:pStyle w:val="ContractList"/>
      </w:pPr>
      <w:r>
        <w:rPr>
          <w:rFonts w:ascii="Calibri" w:hAnsi="Calibri" w:eastAsia="Calibri"/>
          <w:b/>
          <w:color w:val="1F4E78"/>
          <w:sz w:val="22"/>
        </w:rPr>
        <w:t xml:space="preserve">— </w:t>
      </w:r>
      <w:r>
        <w:rPr>
          <w:rFonts w:ascii="Calibri" w:hAnsi="Calibri" w:eastAsia="Calibri"/>
          <w:color w:val="1F1F1F"/>
          <w:sz w:val="22"/>
        </w:rPr>
        <w:t>Неполные или конфликтные ветви помечаются, но не переносятся к случайному родителю.</w:t>
      </w:r>
    </w:p>
    <w:p>
      <w:pPr>
        <w:pStyle w:val="Heading2"/>
        <w:keepNext/>
      </w:pPr>
      <w:r>
        <w:t>4.2. Иерархия ERP</w:t>
      </w:r>
    </w:p>
    <w:p>
      <w:pPr>
        <w:pStyle w:val="ContractList"/>
      </w:pPr>
      <w:r>
        <w:rPr>
          <w:rFonts w:ascii="Calibri" w:hAnsi="Calibri" w:eastAsia="Calibri"/>
          <w:b/>
          <w:color w:val="1F4E78"/>
          <w:sz w:val="22"/>
        </w:rPr>
        <w:t xml:space="preserve">— </w:t>
      </w:r>
      <w:r>
        <w:rPr>
          <w:rFonts w:ascii="Calibri" w:hAnsi="Calibri" w:eastAsia="Calibri"/>
          <w:color w:val="1F1F1F"/>
          <w:sz w:val="22"/>
        </w:rPr>
        <w:t>Строится независимо по API/исходной выгрузке и справочникам ERP.</w:t>
      </w:r>
    </w:p>
    <w:p>
      <w:pPr>
        <w:pStyle w:val="ContractList"/>
      </w:pPr>
      <w:r>
        <w:rPr>
          <w:rFonts w:ascii="Calibri" w:hAnsi="Calibri" w:eastAsia="Calibri"/>
          <w:b/>
          <w:color w:val="1F4E78"/>
          <w:sz w:val="22"/>
        </w:rPr>
        <w:t xml:space="preserve">— </w:t>
      </w:r>
      <w:r>
        <w:rPr>
          <w:rFonts w:ascii="Calibri" w:hAnsi="Calibri" w:eastAsia="Calibri"/>
          <w:color w:val="1F1F1F"/>
          <w:sz w:val="22"/>
        </w:rPr>
        <w:t>Одинаковые названия в разных блоках считаются разными статьями.</w:t>
      </w:r>
    </w:p>
    <w:p>
      <w:pPr>
        <w:pStyle w:val="ContractList"/>
      </w:pPr>
      <w:r>
        <w:rPr>
          <w:rFonts w:ascii="Calibri" w:hAnsi="Calibri" w:eastAsia="Calibri"/>
          <w:b/>
          <w:color w:val="1F4E78"/>
          <w:sz w:val="22"/>
        </w:rPr>
        <w:t xml:space="preserve">— </w:t>
      </w:r>
      <w:r>
        <w:rPr>
          <w:rFonts w:ascii="Calibri" w:hAnsi="Calibri" w:eastAsia="Calibri"/>
          <w:color w:val="1F1F1F"/>
          <w:sz w:val="22"/>
        </w:rPr>
        <w:t>Серая строка на листе сверки означает статью ERP, отсутствующую в дереве Инталев; это не операция.</w:t>
      </w:r>
    </w:p>
    <w:p>
      <w:pPr>
        <w:pStyle w:val="ContractList"/>
      </w:pPr>
      <w:r>
        <w:rPr>
          <w:rFonts w:ascii="Calibri" w:hAnsi="Calibri" w:eastAsia="Calibri"/>
          <w:b/>
          <w:color w:val="1F4E78"/>
          <w:sz w:val="22"/>
        </w:rPr>
        <w:t xml:space="preserve">— </w:t>
      </w:r>
      <w:r>
        <w:rPr>
          <w:rFonts w:ascii="Calibri" w:hAnsi="Calibri" w:eastAsia="Calibri"/>
          <w:color w:val="1F1F1F"/>
          <w:sz w:val="22"/>
        </w:rPr>
        <w:t>Физические операции показываются отдельно на журнальных листах и в доказательствах.</w:t>
      </w:r>
    </w:p>
    <w:p>
      <w:pPr>
        <w:pStyle w:val="Heading2"/>
        <w:keepNext/>
      </w:pPr>
      <w:r>
        <w:t>4.3. Обязательные блоки</w:t>
      </w:r>
    </w:p>
    <w:p>
      <w:pPr/>
      <w:r>
        <w:rPr>
          <w:rFonts w:ascii="Calibri" w:hAnsi="Calibri" w:eastAsia="Calibri"/>
          <w:i w:val="0"/>
          <w:color w:val="1F1F1F"/>
          <w:sz w:val="22"/>
        </w:rPr>
        <w:t>Движок не использует закрытый список блоков. Он обязан вывести все фактические верхнеуровневые блоки расходов, найденные под узлом статей ОПиУ Инталев. В частности, должны сохраняться:</w:t>
      </w:r>
    </w:p>
    <w:p>
      <w:pPr>
        <w:pStyle w:val="ContractList"/>
      </w:pPr>
      <w:r>
        <w:rPr>
          <w:rFonts w:ascii="Calibri" w:hAnsi="Calibri" w:eastAsia="Calibri"/>
          <w:b/>
          <w:color w:val="1F4E78"/>
          <w:sz w:val="22"/>
        </w:rPr>
        <w:t xml:space="preserve">— </w:t>
      </w:r>
      <w:r>
        <w:rPr>
          <w:rFonts w:ascii="Calibri" w:hAnsi="Calibri" w:eastAsia="Calibri"/>
          <w:color w:val="1F1F1F"/>
          <w:sz w:val="22"/>
        </w:rPr>
        <w:t>Административные расходы;</w:t>
      </w:r>
    </w:p>
    <w:p>
      <w:pPr>
        <w:pStyle w:val="ContractList"/>
      </w:pPr>
      <w:r>
        <w:rPr>
          <w:rFonts w:ascii="Calibri" w:hAnsi="Calibri" w:eastAsia="Calibri"/>
          <w:b/>
          <w:color w:val="1F4E78"/>
          <w:sz w:val="22"/>
        </w:rPr>
        <w:t xml:space="preserve">— </w:t>
      </w:r>
      <w:r>
        <w:rPr>
          <w:rFonts w:ascii="Calibri" w:hAnsi="Calibri" w:eastAsia="Calibri"/>
          <w:color w:val="1F1F1F"/>
          <w:sz w:val="22"/>
        </w:rPr>
        <w:t>Коммерческие расходы;</w:t>
      </w:r>
    </w:p>
    <w:p>
      <w:pPr>
        <w:pStyle w:val="ContractList"/>
      </w:pPr>
      <w:r>
        <w:rPr>
          <w:rFonts w:ascii="Calibri" w:hAnsi="Calibri" w:eastAsia="Calibri"/>
          <w:b/>
          <w:color w:val="1F4E78"/>
          <w:sz w:val="22"/>
        </w:rPr>
        <w:t xml:space="preserve">— </w:t>
      </w:r>
      <w:r>
        <w:rPr>
          <w:rFonts w:ascii="Calibri" w:hAnsi="Calibri" w:eastAsia="Calibri"/>
          <w:color w:val="1F1F1F"/>
          <w:sz w:val="22"/>
        </w:rPr>
        <w:t>Расходы на транспортную логистику;</w:t>
      </w:r>
    </w:p>
    <w:p>
      <w:pPr>
        <w:pStyle w:val="ContractList"/>
      </w:pPr>
      <w:r>
        <w:rPr>
          <w:rFonts w:ascii="Calibri" w:hAnsi="Calibri" w:eastAsia="Calibri"/>
          <w:b/>
          <w:color w:val="1F4E78"/>
          <w:sz w:val="22"/>
        </w:rPr>
        <w:t xml:space="preserve">— </w:t>
      </w:r>
      <w:r>
        <w:rPr>
          <w:rFonts w:ascii="Calibri" w:hAnsi="Calibri" w:eastAsia="Calibri"/>
          <w:color w:val="1F1F1F"/>
          <w:sz w:val="22"/>
        </w:rPr>
        <w:t>Расходы на складскую логистику;</w:t>
      </w:r>
    </w:p>
    <w:p>
      <w:pPr>
        <w:pStyle w:val="ContractList"/>
      </w:pPr>
      <w:r>
        <w:rPr>
          <w:rFonts w:ascii="Calibri" w:hAnsi="Calibri" w:eastAsia="Calibri"/>
          <w:b/>
          <w:color w:val="1F4E78"/>
          <w:sz w:val="22"/>
        </w:rPr>
        <w:t xml:space="preserve">— </w:t>
      </w:r>
      <w:r>
        <w:rPr>
          <w:rFonts w:ascii="Calibri" w:hAnsi="Calibri" w:eastAsia="Calibri"/>
          <w:color w:val="1F1F1F"/>
          <w:sz w:val="22"/>
        </w:rPr>
        <w:t>Финансовые и внереализационные блоки, если они присутствуют в источнике;</w:t>
      </w:r>
    </w:p>
    <w:p>
      <w:pPr>
        <w:pStyle w:val="ContractList"/>
      </w:pPr>
      <w:r>
        <w:rPr>
          <w:rFonts w:ascii="Calibri" w:hAnsi="Calibri" w:eastAsia="Calibri"/>
          <w:b/>
          <w:color w:val="1F4E78"/>
          <w:sz w:val="22"/>
        </w:rPr>
        <w:t xml:space="preserve">— </w:t>
      </w:r>
      <w:r>
        <w:rPr>
          <w:rFonts w:ascii="Calibri" w:hAnsi="Calibri" w:eastAsia="Calibri"/>
          <w:color w:val="1F1F1F"/>
          <w:sz w:val="22"/>
        </w:rPr>
        <w:t>все дочерние статьи: ФЗП, НДФЛ, налоги зарплатные, расходы ИТ, расходы на персонал, реклама и маркетинг, компенсации и прочие фактические детали.</w:t>
      </w:r>
    </w:p>
    <w:p>
      <w:pPr>
        <w:pStyle w:val="Heading1"/>
        <w:keepNext/>
      </w:pPr>
      <w:r>
        <w:t>5. Расчёт сверки</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vAlign w:val="top"/>
            <w:shd w:fill="FFF2CC"/>
          </w:tcPr>
          <w:p>
            <w:pPr>
              <w:spacing w:after="0"/>
            </w:pPr>
            <w:r>
              <w:rPr>
                <w:rFonts w:ascii="Calibri" w:hAnsi="Calibri" w:eastAsia="Calibri"/>
                <w:b/>
                <w:color w:val="7A5A00"/>
                <w:sz w:val="22"/>
              </w:rPr>
              <w:t xml:space="preserve">Формула. </w:t>
            </w:r>
            <w:r>
              <w:rPr>
                <w:rFonts w:ascii="Calibri" w:hAnsi="Calibri" w:eastAsia="Calibri"/>
                <w:color w:val="1F1F1F"/>
                <w:sz w:val="22"/>
              </w:rPr>
              <w:t>Дельта = сумма Инталев − сумма ERP.</w:t>
            </w:r>
          </w:p>
        </w:tc>
      </w:tr>
    </w:tbl>
    <w:p>
      <w:pPr>
        <w:spacing w:after="0"/>
      </w:pPr>
    </w:p>
    <w:p>
      <w:pPr>
        <w:pStyle w:val="ContractList"/>
      </w:pPr>
      <w:r>
        <w:rPr>
          <w:rFonts w:ascii="Calibri" w:hAnsi="Calibri" w:eastAsia="Calibri"/>
          <w:b/>
          <w:color w:val="1F4E78"/>
          <w:sz w:val="22"/>
        </w:rPr>
        <w:t xml:space="preserve">— </w:t>
      </w:r>
      <w:r>
        <w:rPr>
          <w:rFonts w:ascii="Calibri" w:hAnsi="Calibri" w:eastAsia="Calibri"/>
          <w:color w:val="1F1F1F"/>
          <w:sz w:val="22"/>
        </w:rPr>
        <w:t>Суммы считаются в точных копейках, без округлительного подбора.</w:t>
      </w:r>
    </w:p>
    <w:p>
      <w:pPr>
        <w:pStyle w:val="ContractList"/>
      </w:pPr>
      <w:r>
        <w:rPr>
          <w:rFonts w:ascii="Calibri" w:hAnsi="Calibri" w:eastAsia="Calibri"/>
          <w:b/>
          <w:color w:val="1F4E78"/>
          <w:sz w:val="22"/>
        </w:rPr>
        <w:t xml:space="preserve">— </w:t>
      </w:r>
      <w:r>
        <w:rPr>
          <w:rFonts w:ascii="Calibri" w:hAnsi="Calibri" w:eastAsia="Calibri"/>
          <w:color w:val="1F1F1F"/>
          <w:sz w:val="22"/>
        </w:rPr>
        <w:t>Родительский итог не суммируется повторно с собственными дочерними деталями.</w:t>
      </w:r>
    </w:p>
    <w:p>
      <w:pPr>
        <w:pStyle w:val="ContractList"/>
      </w:pPr>
      <w:r>
        <w:rPr>
          <w:rFonts w:ascii="Calibri" w:hAnsi="Calibri" w:eastAsia="Calibri"/>
          <w:b/>
          <w:color w:val="1F4E78"/>
          <w:sz w:val="22"/>
        </w:rPr>
        <w:t xml:space="preserve">— </w:t>
      </w:r>
      <w:r>
        <w:rPr>
          <w:rFonts w:ascii="Calibri" w:hAnsi="Calibri" w:eastAsia="Calibri"/>
          <w:color w:val="1F1F1F"/>
          <w:sz w:val="22"/>
        </w:rPr>
        <w:t>Если родительской суммы ERP нет, она может быть восстановлена снизу вверх только из доказанных прямых дочерних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Дельта группы равна сумме дельт полных дочерних статей плюс нераспределённый остаток.</w:t>
      </w:r>
    </w:p>
    <w:p>
      <w:pPr>
        <w:pStyle w:val="ContractList"/>
      </w:pPr>
      <w:r>
        <w:rPr>
          <w:rFonts w:ascii="Calibri" w:hAnsi="Calibri" w:eastAsia="Calibri"/>
          <w:b/>
          <w:color w:val="1F4E78"/>
          <w:sz w:val="22"/>
        </w:rPr>
        <w:t xml:space="preserve">— </w:t>
      </w:r>
      <w:r>
        <w:rPr>
          <w:rFonts w:ascii="Calibri" w:hAnsi="Calibri" w:eastAsia="Calibri"/>
          <w:color w:val="1F1F1F"/>
          <w:sz w:val="22"/>
        </w:rPr>
        <w:t>Любая итоговая дельта должна раскрываться внутри: статья, пустая ветвь, ERP-only строка, журнал или явно отмеченный остаток.</w:t>
      </w:r>
    </w:p>
    <w:p>
      <w:pPr>
        <w:pStyle w:val="ContractList"/>
      </w:pPr>
      <w:r>
        <w:rPr>
          <w:rFonts w:ascii="Calibri" w:hAnsi="Calibri" w:eastAsia="Calibri"/>
          <w:b/>
          <w:color w:val="1F4E78"/>
          <w:sz w:val="22"/>
        </w:rPr>
        <w:t xml:space="preserve">— </w:t>
      </w:r>
      <w:r>
        <w:rPr>
          <w:rFonts w:ascii="Calibri" w:hAnsi="Calibri" w:eastAsia="Calibri"/>
          <w:color w:val="1F1F1F"/>
          <w:sz w:val="22"/>
        </w:rPr>
        <w:t>Изменение структуры не должно удалять экономические детали и не должно изменять общий итог ОПИУ.</w:t>
      </w:r>
    </w:p>
    <w:p>
      <w:pPr>
        <w:pStyle w:val="Heading1"/>
        <w:keepNext/>
      </w:pPr>
      <w:r>
        <w:t>6. Поиск расхождений через журналы</w:t>
      </w:r>
    </w:p>
    <w:p>
      <w:pPr/>
      <w:r>
        <w:rPr>
          <w:rFonts w:ascii="Calibri" w:hAnsi="Calibri" w:eastAsia="Calibri"/>
          <w:i w:val="0"/>
          <w:color w:val="1F1F1F"/>
          <w:sz w:val="22"/>
        </w:rPr>
        <w:t>Журнал проводок является основным доказательным ресурсом. Сопоставление строится от конкретных физических строк, а не от похожих итогов отчёта.</w:t>
      </w:r>
    </w:p>
    <w:p>
      <w:pPr>
        <w:pStyle w:val="Heading2"/>
        <w:keepNext/>
      </w:pPr>
      <w:r>
        <w:t>6.1. Последовательность поиска</w:t>
      </w:r>
    </w:p>
    <w:p>
      <w:pPr>
        <w:pStyle w:val="ContractList"/>
      </w:pPr>
      <w:r>
        <w:rPr>
          <w:rFonts w:ascii="Calibri" w:hAnsi="Calibri" w:eastAsia="Calibri"/>
          <w:b/>
          <w:color w:val="1F4E78"/>
          <w:sz w:val="22"/>
        </w:rPr>
        <w:t xml:space="preserve">— </w:t>
      </w:r>
      <w:r>
        <w:rPr>
          <w:rFonts w:ascii="Calibri" w:hAnsi="Calibri" w:eastAsia="Calibri"/>
          <w:color w:val="1F1F1F"/>
          <w:sz w:val="22"/>
        </w:rPr>
        <w:t>Ограничить строки одной выбранной организацией и одним выбранным календарным месяцем YYYY-MM.</w:t>
      </w:r>
    </w:p>
    <w:p>
      <w:pPr>
        <w:pStyle w:val="ContractList"/>
      </w:pPr>
      <w:r>
        <w:rPr>
          <w:rFonts w:ascii="Calibri" w:hAnsi="Calibri" w:eastAsia="Calibri"/>
          <w:b/>
          <w:color w:val="1F4E78"/>
          <w:sz w:val="22"/>
        </w:rPr>
        <w:t xml:space="preserve">— </w:t>
      </w:r>
      <w:r>
        <w:rPr>
          <w:rFonts w:ascii="Calibri" w:hAnsi="Calibri" w:eastAsia="Calibri"/>
          <w:color w:val="1F1F1F"/>
          <w:sz w:val="22"/>
        </w:rPr>
        <w:t>Найти кандидатов по точной сумме и знаку.</w:t>
      </w:r>
    </w:p>
    <w:p>
      <w:pPr>
        <w:pStyle w:val="ContractList"/>
      </w:pPr>
      <w:r>
        <w:rPr>
          <w:rFonts w:ascii="Calibri" w:hAnsi="Calibri" w:eastAsia="Calibri"/>
          <w:b/>
          <w:color w:val="1F4E78"/>
          <w:sz w:val="22"/>
        </w:rPr>
        <w:t xml:space="preserve">— </w:t>
      </w:r>
      <w:r>
        <w:rPr>
          <w:rFonts w:ascii="Calibri" w:hAnsi="Calibri" w:eastAsia="Calibri"/>
          <w:color w:val="1F1F1F"/>
          <w:sz w:val="22"/>
        </w:rPr>
        <w:t>Сверить дату, документ и номер строки.</w:t>
      </w:r>
    </w:p>
    <w:p>
      <w:pPr>
        <w:pStyle w:val="ContractList"/>
      </w:pPr>
      <w:r>
        <w:rPr>
          <w:rFonts w:ascii="Calibri" w:hAnsi="Calibri" w:eastAsia="Calibri"/>
          <w:b/>
          <w:color w:val="1F4E78"/>
          <w:sz w:val="22"/>
        </w:rPr>
        <w:t xml:space="preserve">— </w:t>
      </w:r>
      <w:r>
        <w:rPr>
          <w:rFonts w:ascii="Calibri" w:hAnsi="Calibri" w:eastAsia="Calibri"/>
          <w:color w:val="1F1F1F"/>
          <w:sz w:val="22"/>
        </w:rPr>
        <w:t>Сверить счета Дт/Кт и расчётную сторону.</w:t>
      </w:r>
    </w:p>
    <w:p>
      <w:pPr>
        <w:pStyle w:val="ContractList"/>
      </w:pPr>
      <w:r>
        <w:rPr>
          <w:rFonts w:ascii="Calibri" w:hAnsi="Calibri" w:eastAsia="Calibri"/>
          <w:b/>
          <w:color w:val="1F4E78"/>
          <w:sz w:val="22"/>
        </w:rPr>
        <w:t xml:space="preserve">— </w:t>
      </w:r>
      <w:r>
        <w:rPr>
          <w:rFonts w:ascii="Calibri" w:hAnsi="Calibri" w:eastAsia="Calibri"/>
          <w:color w:val="1F1F1F"/>
          <w:sz w:val="22"/>
        </w:rPr>
        <w:t>Сверить сотрудника, контрагента, подразделение и другие аналитики.</w:t>
      </w:r>
    </w:p>
    <w:p>
      <w:pPr>
        <w:pStyle w:val="ContractList"/>
      </w:pPr>
      <w:r>
        <w:rPr>
          <w:rFonts w:ascii="Calibri" w:hAnsi="Calibri" w:eastAsia="Calibri"/>
          <w:b/>
          <w:color w:val="1F4E78"/>
          <w:sz w:val="22"/>
        </w:rPr>
        <w:t xml:space="preserve">— </w:t>
      </w:r>
      <w:r>
        <w:rPr>
          <w:rFonts w:ascii="Calibri" w:hAnsi="Calibri" w:eastAsia="Calibri"/>
          <w:color w:val="1F1F1F"/>
          <w:sz w:val="22"/>
        </w:rPr>
        <w:t>Использовать поле Содержание как дополнительное объяснение и доказательство.</w:t>
      </w:r>
    </w:p>
    <w:p>
      <w:pPr>
        <w:pStyle w:val="ContractList"/>
      </w:pPr>
      <w:r>
        <w:rPr>
          <w:rFonts w:ascii="Calibri" w:hAnsi="Calibri" w:eastAsia="Calibri"/>
          <w:b/>
          <w:color w:val="1F4E78"/>
          <w:sz w:val="22"/>
        </w:rPr>
        <w:t xml:space="preserve">— </w:t>
      </w:r>
      <w:r>
        <w:rPr>
          <w:rFonts w:ascii="Calibri" w:hAnsi="Calibri" w:eastAsia="Calibri"/>
          <w:color w:val="1F1F1F"/>
          <w:sz w:val="22"/>
        </w:rPr>
        <w:t>Сопоставить статью Инталев с реквизитом Статьи БДР и статьёй ERP внутри нужного блока.</w:t>
      </w:r>
    </w:p>
    <w:p>
      <w:pPr>
        <w:pStyle w:val="ContractList"/>
      </w:pPr>
      <w:r>
        <w:rPr>
          <w:rFonts w:ascii="Calibri" w:hAnsi="Calibri" w:eastAsia="Calibri"/>
          <w:b/>
          <w:color w:val="1F4E78"/>
          <w:sz w:val="22"/>
        </w:rPr>
        <w:t xml:space="preserve">— </w:t>
      </w:r>
      <w:r>
        <w:rPr>
          <w:rFonts w:ascii="Calibri" w:hAnsi="Calibri" w:eastAsia="Calibri"/>
          <w:color w:val="1F1F1F"/>
          <w:sz w:val="22"/>
        </w:rPr>
        <w:t>Запретить повторное использование одной физической строки в нескольких парах.</w:t>
      </w:r>
    </w:p>
    <w:p>
      <w:pPr>
        <w:pStyle w:val="Heading2"/>
        <w:keepNext/>
      </w:pPr>
      <w:r>
        <w:t>6.2. Уровни результата</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900"/>
        <w:gridCol w:w="4500"/>
        <w:gridCol w:w="2960"/>
      </w:tblGrid>
      <w:tr>
        <w:trPr>
          <w:tblHeader w:val="true"/>
          <w:cantSplit/>
        </w:trPr>
        <w:tc>
          <w:tcPr>
            <w:tcW w:type="dxa" w:w="19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Статус</w:t>
            </w:r>
          </w:p>
        </w:tc>
        <w:tc>
          <w:tcPr>
            <w:tcW w:type="dxa" w:w="45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Что означает</w:t>
            </w:r>
          </w:p>
        </w:tc>
        <w:tc>
          <w:tcPr>
            <w:tcW w:type="dxa" w:w="29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Действие</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Доказано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Единственная физическая пара; совпали ключевые реквизиты</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Можно готовить проект корректировки</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Предложено движком</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Есть сильная справочная/структурная связь, но физическая строка не доказана</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Показывать в реестре; проводку не создавать</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Неоднозначно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Несколько источников или целей</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Передать пользователю</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Не найдено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Нет второй стороны</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Диагностика или односторонний СПОРНО</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Запрещено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Пользователь запретил связь</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Не применять в последующих запусках</w:t>
            </w:r>
          </w:p>
        </w:tc>
      </w:tr>
    </w:tbl>
    <w:p>
      <w:pPr>
        <w:pStyle w:val="Heading1"/>
        <w:keepNext/>
      </w:pPr>
      <w:r>
        <w:t>7. Правила статей и межгруппового пересорта</w:t>
      </w:r>
    </w:p>
    <w:p>
      <w:pPr/>
      <w:r>
        <w:rPr>
          <w:rFonts w:ascii="Calibri" w:hAnsi="Calibri" w:eastAsia="Calibri"/>
          <w:i w:val="0"/>
          <w:color w:val="1F1F1F"/>
          <w:sz w:val="22"/>
        </w:rPr>
        <w:t>Название статьи без блока недостаточно. Если в ERP выбрана одноимённая статья из неправильной группы, движок должен перенести операцию на одноимённую или утверждённую статью внутри фактического блока Инталев.</w:t>
      </w:r>
    </w:p>
    <w:tbl>
      <w:tblPr>
        <w:tblW w:type="dxa" w:w="9360"/>
        <w:jc w:val="left"/>
        <w:tblLayout w:type="fixed"/>
        <w:tblLook w:firstColumn="1" w:firstRow="1" w:lastColumn="0" w:lastRow="0" w:noHBand="0" w:noVBand="1" w:val="04A0"/>
        <w:tblInd w:w="12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360"/>
      </w:tblGrid>
      <w:tr>
        <w:tc>
          <w:tcPr>
            <w:tcW w:type="dxa" w:w="9360"/>
            <w:tcMar>
              <w:top w:w="80" w:type="dxa"/>
              <w:start w:w="120" w:type="dxa"/>
              <w:bottom w:w="80" w:type="dxa"/>
              <w:end w:w="120" w:type="dxa"/>
            </w:tcMar>
            <w:vAlign w:val="top"/>
            <w:shd w:fill="E8EEF5"/>
          </w:tcPr>
          <w:p>
            <w:pPr>
              <w:spacing w:after="0"/>
            </w:pPr>
            <w:r>
              <w:rPr>
                <w:rFonts w:ascii="Calibri" w:hAnsi="Calibri" w:eastAsia="Calibri"/>
                <w:b/>
                <w:color w:val="1F4E78"/>
                <w:sz w:val="22"/>
              </w:rPr>
              <w:t xml:space="preserve">Пример. </w:t>
            </w:r>
            <w:r>
              <w:rPr>
                <w:rFonts w:ascii="Calibri" w:hAnsi="Calibri" w:eastAsia="Calibri"/>
                <w:color w:val="1F1F1F"/>
                <w:sz w:val="22"/>
              </w:rPr>
              <w:t>Если физическая операция ФЗП находится в коммерческом блоке Инталев, а в ERP отражена на ФЗП административного блока (например, со счётом 44), формируется СТОРНО с административной статьи и РЕПОСТ на ФЗП коммерческого блока.</w:t>
            </w:r>
          </w:p>
        </w:tc>
      </w:tr>
    </w:tbl>
    <w:p>
      <w:pPr>
        <w:spacing w:after="0"/>
      </w:pPr>
    </w:p>
    <w:p>
      <w:pPr>
        <w:pStyle w:val="ContractList"/>
      </w:pPr>
      <w:r>
        <w:rPr>
          <w:rFonts w:ascii="Calibri" w:hAnsi="Calibri" w:eastAsia="Calibri"/>
          <w:b/>
          <w:color w:val="1F4E78"/>
          <w:sz w:val="22"/>
        </w:rPr>
        <w:t xml:space="preserve">— </w:t>
      </w:r>
      <w:r>
        <w:rPr>
          <w:rFonts w:ascii="Calibri" w:hAnsi="Calibri" w:eastAsia="Calibri"/>
          <w:color w:val="1F1F1F"/>
          <w:sz w:val="22"/>
        </w:rPr>
        <w:t>Правило действует не только для ФЗП, но также для НДФЛ, налогов зарплатных, расходов ИТ, расходов на персонал, компенсаций, материальной помощи, рекламы и любых других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При внутригрупповом пересорте целевой блок остаётся тем же, меняется только статья внутри блока.</w:t>
      </w:r>
    </w:p>
    <w:p>
      <w:pPr>
        <w:pStyle w:val="ContractList"/>
      </w:pPr>
      <w:r>
        <w:rPr>
          <w:rFonts w:ascii="Calibri" w:hAnsi="Calibri" w:eastAsia="Calibri"/>
          <w:b/>
          <w:color w:val="1F4E78"/>
          <w:sz w:val="22"/>
        </w:rPr>
        <w:t xml:space="preserve">— </w:t>
      </w:r>
      <w:r>
        <w:rPr>
          <w:rFonts w:ascii="Calibri" w:hAnsi="Calibri" w:eastAsia="Calibri"/>
          <w:color w:val="1F1F1F"/>
          <w:sz w:val="22"/>
        </w:rPr>
        <w:t>При межгрупповом пересорте источник СТОРНО берётся из фактической строки ERP, а цель РЕПОСТ — из нужного блока по пути Инталев.</w:t>
      </w:r>
    </w:p>
    <w:p>
      <w:pPr>
        <w:pStyle w:val="ContractList"/>
      </w:pPr>
      <w:r>
        <w:rPr>
          <w:rFonts w:ascii="Calibri" w:hAnsi="Calibri" w:eastAsia="Calibri"/>
          <w:b/>
          <w:color w:val="1F4E78"/>
          <w:sz w:val="22"/>
        </w:rPr>
        <w:t xml:space="preserve">— </w:t>
      </w:r>
      <w:r>
        <w:rPr>
          <w:rFonts w:ascii="Calibri" w:hAnsi="Calibri" w:eastAsia="Calibri"/>
          <w:color w:val="1F1F1F"/>
          <w:sz w:val="22"/>
        </w:rPr>
        <w:t>Дата, организация, документ, сумма, валюта, Дт/Кт и аналитики при РЕПОСТ не изменяются; меняется только статья и её код.</w:t>
      </w:r>
    </w:p>
    <w:p>
      <w:pPr>
        <w:pStyle w:val="ContractList"/>
      </w:pPr>
      <w:r>
        <w:rPr>
          <w:rFonts w:ascii="Calibri" w:hAnsi="Calibri" w:eastAsia="Calibri"/>
          <w:b/>
          <w:color w:val="1F4E78"/>
          <w:sz w:val="22"/>
        </w:rPr>
        <w:t xml:space="preserve">— </w:t>
      </w:r>
      <w:r>
        <w:rPr>
          <w:rFonts w:ascii="Calibri" w:hAnsi="Calibri" w:eastAsia="Calibri"/>
          <w:color w:val="1F1F1F"/>
          <w:sz w:val="22"/>
        </w:rPr>
        <w:t>Составные зарплатные пары могут собираться из нескольких компонентов, но каждая физическая строка используется один раз.</w:t>
      </w:r>
    </w:p>
    <w:p>
      <w:pPr>
        <w:pStyle w:val="Heading1"/>
        <w:keepNext/>
      </w:pPr>
      <w:r>
        <w:t>8. Корректировочные файлы</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900"/>
        <w:gridCol w:w="2000"/>
        <w:gridCol w:w="5460"/>
      </w:tblGrid>
      <w:tr>
        <w:trPr>
          <w:tblHeader w:val="true"/>
          <w:cantSplit/>
        </w:trPr>
        <w:tc>
          <w:tcPr>
            <w:tcW w:type="dxa" w:w="19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Тип</w:t>
            </w:r>
          </w:p>
        </w:tc>
        <w:tc>
          <w:tcPr>
            <w:tcW w:type="dxa" w:w="20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Файл</w:t>
            </w:r>
          </w:p>
        </w:tc>
        <w:tc>
          <w:tcPr>
            <w:tcW w:type="dxa" w:w="54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Когда создаётся</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Парные</w:t>
            </w:r>
          </w:p>
        </w:tc>
        <w:tc>
          <w:tcPr>
            <w:tcW w:type="dxa" w:w="2000"/>
            <w:tcMar>
              <w:top w:w="80" w:type="dxa"/>
              <w:start w:w="120" w:type="dxa"/>
              <w:bottom w:w="80" w:type="dxa"/>
              <w:end w:w="120" w:type="dxa"/>
            </w:tcMar>
            <w:vAlign w:val="top"/>
          </w:tcPr>
          <w:p>
            <w:pPr>
              <w:spacing w:after="0"/>
            </w:pPr>
            <w:r>
              <w:rPr>
                <w:rFonts w:ascii="Calibri" w:hAnsi="Calibri" w:eastAsia="Calibri"/>
                <w:color w:val="1F1F1F"/>
                <w:sz w:val="18"/>
              </w:rPr>
              <w:t>СТОРНО + РЕПОСТ</w:t>
            </w:r>
          </w:p>
        </w:tc>
        <w:tc>
          <w:tcPr>
            <w:tcW w:type="dxa" w:w="5460"/>
            <w:tcMar>
              <w:top w:w="80" w:type="dxa"/>
              <w:start w:w="120" w:type="dxa"/>
              <w:bottom w:w="80" w:type="dxa"/>
              <w:end w:w="120" w:type="dxa"/>
            </w:tcMar>
            <w:vAlign w:val="top"/>
          </w:tcPr>
          <w:p>
            <w:pPr>
              <w:spacing w:after="0"/>
            </w:pPr>
            <w:r>
              <w:rPr>
                <w:rFonts w:ascii="Calibri" w:hAnsi="Calibri" w:eastAsia="Calibri"/>
                <w:color w:val="1F1F1F"/>
                <w:sz w:val="18"/>
              </w:rPr>
              <w:t>Доказанная ошибочная статья и однозначная целевая статья</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Односторонние</w:t>
            </w:r>
          </w:p>
        </w:tc>
        <w:tc>
          <w:tcPr>
            <w:tcW w:type="dxa" w:w="2000"/>
            <w:tcMar>
              <w:top w:w="80" w:type="dxa"/>
              <w:start w:w="120" w:type="dxa"/>
              <w:bottom w:w="80" w:type="dxa"/>
              <w:end w:w="120" w:type="dxa"/>
            </w:tcMar>
            <w:vAlign w:val="top"/>
          </w:tcPr>
          <w:p>
            <w:pPr>
              <w:spacing w:after="0"/>
            </w:pPr>
            <w:r>
              <w:rPr>
                <w:rFonts w:ascii="Calibri" w:hAnsi="Calibri" w:eastAsia="Calibri"/>
                <w:color w:val="1F1F1F"/>
                <w:sz w:val="18"/>
              </w:rPr>
              <w:t>СПОРНО</w:t>
            </w:r>
          </w:p>
        </w:tc>
        <w:tc>
          <w:tcPr>
            <w:tcW w:type="dxa" w:w="5460"/>
            <w:tcMar>
              <w:top w:w="80" w:type="dxa"/>
              <w:start w:w="120" w:type="dxa"/>
              <w:bottom w:w="80" w:type="dxa"/>
              <w:end w:w="120" w:type="dxa"/>
            </w:tcMar>
            <w:vAlign w:val="top"/>
          </w:tcPr>
          <w:p>
            <w:pPr>
              <w:spacing w:after="0"/>
            </w:pPr>
            <w:r>
              <w:rPr>
                <w:rFonts w:ascii="Calibri" w:hAnsi="Calibri" w:eastAsia="Calibri"/>
                <w:color w:val="1F1F1F"/>
                <w:sz w:val="18"/>
              </w:rPr>
              <w:t>Доказана только одна сторона; требуется проверка пользователя</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Удаление МСФО</w:t>
            </w:r>
          </w:p>
        </w:tc>
        <w:tc>
          <w:tcPr>
            <w:tcW w:type="dxa" w:w="2000"/>
            <w:tcMar>
              <w:top w:w="80" w:type="dxa"/>
              <w:start w:w="120" w:type="dxa"/>
              <w:bottom w:w="80" w:type="dxa"/>
              <w:end w:w="120" w:type="dxa"/>
            </w:tcMar>
            <w:vAlign w:val="top"/>
          </w:tcPr>
          <w:p>
            <w:pPr>
              <w:spacing w:after="0"/>
            </w:pPr>
            <w:r>
              <w:rPr>
                <w:rFonts w:ascii="Calibri" w:hAnsi="Calibri" w:eastAsia="Calibri"/>
                <w:color w:val="1F1F1F"/>
                <w:sz w:val="18"/>
              </w:rPr>
              <w:t>Реестр удаляемых операций/строк</w:t>
            </w:r>
          </w:p>
        </w:tc>
        <w:tc>
          <w:tcPr>
            <w:tcW w:type="dxa" w:w="5460"/>
            <w:tcMar>
              <w:top w:w="80" w:type="dxa"/>
              <w:start w:w="120" w:type="dxa"/>
              <w:bottom w:w="80" w:type="dxa"/>
              <w:end w:w="120" w:type="dxa"/>
            </w:tcMar>
            <w:vAlign w:val="top"/>
          </w:tcPr>
          <w:p>
            <w:pPr>
              <w:spacing w:after="0"/>
            </w:pPr>
            <w:r>
              <w:rPr>
                <w:rFonts w:ascii="Calibri" w:hAnsi="Calibri" w:eastAsia="Calibri"/>
                <w:color w:val="1F1F1F"/>
                <w:sz w:val="18"/>
              </w:rPr>
              <w:t>Только при доказанном основании; не выполняется автоматически</w:t>
            </w:r>
          </w:p>
        </w:tc>
      </w:tr>
    </w:tbl>
    <w:p>
      <w:pPr>
        <w:pStyle w:val="Heading2"/>
        <w:keepNext/>
      </w:pPr>
      <w:r>
        <w:t>8.1. Понятное поле Содержание</w:t>
      </w:r>
    </w:p>
    <w:p>
      <w:pPr/>
      <w:r>
        <w:rPr>
          <w:rFonts w:ascii="Calibri" w:hAnsi="Calibri" w:eastAsia="Calibri"/>
          <w:i w:val="0"/>
          <w:color w:val="1F1F1F"/>
          <w:sz w:val="22"/>
        </w:rPr>
        <w:t>В каждой выгрузочной строке поле Содержание должно отвечать пользователю на вопросы «что меняется», «почему», «откуда взята сумма» и «где доказательство». Порядок текста:</w:t>
      </w:r>
    </w:p>
    <w:p>
      <w:pPr>
        <w:pStyle w:val="ContractList"/>
      </w:pPr>
      <w:r>
        <w:rPr>
          <w:rFonts w:ascii="Calibri" w:hAnsi="Calibri" w:eastAsia="Calibri"/>
          <w:b/>
          <w:color w:val="1F4E78"/>
          <w:sz w:val="22"/>
        </w:rPr>
        <w:t xml:space="preserve">— </w:t>
      </w:r>
      <w:r>
        <w:rPr>
          <w:rFonts w:ascii="Calibri" w:hAnsi="Calibri" w:eastAsia="Calibri"/>
          <w:color w:val="1F1F1F"/>
          <w:sz w:val="22"/>
        </w:rPr>
        <w:t>действие и сумма;</w:t>
      </w:r>
    </w:p>
    <w:p>
      <w:pPr>
        <w:pStyle w:val="ContractList"/>
      </w:pPr>
      <w:r>
        <w:rPr>
          <w:rFonts w:ascii="Calibri" w:hAnsi="Calibri" w:eastAsia="Calibri"/>
          <w:b/>
          <w:color w:val="1F4E78"/>
          <w:sz w:val="22"/>
        </w:rPr>
        <w:t xml:space="preserve">— </w:t>
      </w:r>
      <w:r>
        <w:rPr>
          <w:rFonts w:ascii="Calibri" w:hAnsi="Calibri" w:eastAsia="Calibri"/>
          <w:color w:val="1F1F1F"/>
          <w:sz w:val="22"/>
        </w:rPr>
        <w:t>ошибочная и правильная статья/блок;</w:t>
      </w:r>
    </w:p>
    <w:p>
      <w:pPr>
        <w:pStyle w:val="ContractList"/>
      </w:pPr>
      <w:r>
        <w:rPr>
          <w:rFonts w:ascii="Calibri" w:hAnsi="Calibri" w:eastAsia="Calibri"/>
          <w:b/>
          <w:color w:val="1F4E78"/>
          <w:sz w:val="22"/>
        </w:rPr>
        <w:t xml:space="preserve">— </w:t>
      </w:r>
      <w:r>
        <w:rPr>
          <w:rFonts w:ascii="Calibri" w:hAnsi="Calibri" w:eastAsia="Calibri"/>
          <w:color w:val="1F1F1F"/>
          <w:sz w:val="22"/>
        </w:rPr>
        <w:t>причина переклассификации;</w:t>
      </w:r>
    </w:p>
    <w:p>
      <w:pPr>
        <w:pStyle w:val="ContractList"/>
      </w:pPr>
      <w:r>
        <w:rPr>
          <w:rFonts w:ascii="Calibri" w:hAnsi="Calibri" w:eastAsia="Calibri"/>
          <w:b/>
          <w:color w:val="1F4E78"/>
          <w:sz w:val="22"/>
        </w:rPr>
        <w:t xml:space="preserve">— </w:t>
      </w:r>
      <w:r>
        <w:rPr>
          <w:rFonts w:ascii="Calibri" w:hAnsi="Calibri" w:eastAsia="Calibri"/>
          <w:color w:val="1F1F1F"/>
          <w:sz w:val="22"/>
        </w:rPr>
        <w:t>источник Инталев: полный путь, строка/ячейка, сумма;</w:t>
      </w:r>
    </w:p>
    <w:p>
      <w:pPr>
        <w:pStyle w:val="ContractList"/>
      </w:pPr>
      <w:r>
        <w:rPr>
          <w:rFonts w:ascii="Calibri" w:hAnsi="Calibri" w:eastAsia="Calibri"/>
          <w:b/>
          <w:color w:val="1F4E78"/>
          <w:sz w:val="22"/>
        </w:rPr>
        <w:t xml:space="preserve">— </w:t>
      </w:r>
      <w:r>
        <w:rPr>
          <w:rFonts w:ascii="Calibri" w:hAnsi="Calibri" w:eastAsia="Calibri"/>
          <w:color w:val="1F1F1F"/>
          <w:sz w:val="22"/>
        </w:rPr>
        <w:t>источник ERP: документ, номер проводки, физическая строка журнала;</w:t>
      </w:r>
    </w:p>
    <w:p>
      <w:pPr>
        <w:pStyle w:val="ContractList"/>
      </w:pPr>
      <w:r>
        <w:rPr>
          <w:rFonts w:ascii="Calibri" w:hAnsi="Calibri" w:eastAsia="Calibri"/>
          <w:b/>
          <w:color w:val="1F4E78"/>
          <w:sz w:val="22"/>
        </w:rPr>
        <w:t xml:space="preserve">— </w:t>
      </w:r>
      <w:r>
        <w:rPr>
          <w:rFonts w:ascii="Calibri" w:hAnsi="Calibri" w:eastAsia="Calibri"/>
          <w:color w:val="1F1F1F"/>
          <w:sz w:val="22"/>
        </w:rPr>
        <w:t>ключевые аналитики;</w:t>
      </w:r>
    </w:p>
    <w:p>
      <w:pPr>
        <w:pStyle w:val="ContractList"/>
      </w:pPr>
      <w:r>
        <w:rPr>
          <w:rFonts w:ascii="Calibri" w:hAnsi="Calibri" w:eastAsia="Calibri"/>
          <w:b/>
          <w:color w:val="1F4E78"/>
          <w:sz w:val="22"/>
        </w:rPr>
        <w:t xml:space="preserve">— </w:t>
      </w:r>
      <w:r>
        <w:rPr>
          <w:rFonts w:ascii="Calibri" w:hAnsi="Calibri" w:eastAsia="Calibri"/>
          <w:color w:val="1F1F1F"/>
          <w:sz w:val="22"/>
        </w:rPr>
        <w:t>технические идентификаторы и SHA-256 — в конце.</w:t>
      </w:r>
    </w:p>
    <w:p>
      <w:pPr>
        <w:pStyle w:val="Heading1"/>
        <w:keepNext/>
      </w:pPr>
      <w:r>
        <w:t>9. Реестр соответствий и утверждение пользователем</w:t>
      </w:r>
    </w:p>
    <w:p>
      <w:pPr/>
      <w:r>
        <w:rPr>
          <w:rFonts w:ascii="Calibri" w:hAnsi="Calibri" w:eastAsia="Calibri"/>
          <w:i w:val="0"/>
          <w:color w:val="1F1F1F"/>
          <w:sz w:val="22"/>
        </w:rPr>
        <w:t>Движок обязан максимально заполнить реестр сам. Пользователь не начинает с пустой таблицы и рассматривает прежде всего то, что движок не смог определить однозначно.</w:t>
      </w:r>
    </w:p>
    <w:p>
      <w:pPr>
        <w:pStyle w:val="Heading2"/>
        <w:keepNext/>
      </w:pPr>
      <w:r>
        <w:t>9.1. Чем движок заполняет догадки</w:t>
      </w:r>
    </w:p>
    <w:p>
      <w:pPr>
        <w:pStyle w:val="ContractList"/>
      </w:pPr>
      <w:r>
        <w:rPr>
          <w:rFonts w:ascii="Calibri" w:hAnsi="Calibri" w:eastAsia="Calibri"/>
          <w:b/>
          <w:color w:val="1F4E78"/>
          <w:sz w:val="22"/>
        </w:rPr>
        <w:t xml:space="preserve">— </w:t>
      </w:r>
      <w:r>
        <w:rPr>
          <w:rFonts w:ascii="Calibri" w:hAnsi="Calibri" w:eastAsia="Calibri"/>
          <w:color w:val="1F1F1F"/>
          <w:sz w:val="22"/>
        </w:rPr>
        <w:t>явный реквизит Инталев Статьи БДР;</w:t>
      </w:r>
    </w:p>
    <w:p>
      <w:pPr>
        <w:pStyle w:val="ContractList"/>
      </w:pPr>
      <w:r>
        <w:rPr>
          <w:rFonts w:ascii="Calibri" w:hAnsi="Calibri" w:eastAsia="Calibri"/>
          <w:b/>
          <w:color w:val="1F4E78"/>
          <w:sz w:val="22"/>
        </w:rPr>
        <w:t xml:space="preserve">— </w:t>
      </w:r>
      <w:r>
        <w:rPr>
          <w:rFonts w:ascii="Calibri" w:hAnsi="Calibri" w:eastAsia="Calibri"/>
          <w:color w:val="1F1F1F"/>
          <w:sz w:val="22"/>
        </w:rPr>
        <w:t>точное нормализованное название статьи;</w:t>
      </w:r>
    </w:p>
    <w:p>
      <w:pPr>
        <w:pStyle w:val="ContractList"/>
      </w:pPr>
      <w:r>
        <w:rPr>
          <w:rFonts w:ascii="Calibri" w:hAnsi="Calibri" w:eastAsia="Calibri"/>
          <w:b/>
          <w:color w:val="1F4E78"/>
          <w:sz w:val="22"/>
        </w:rPr>
        <w:t xml:space="preserve">— </w:t>
      </w:r>
      <w:r>
        <w:rPr>
          <w:rFonts w:ascii="Calibri" w:hAnsi="Calibri" w:eastAsia="Calibri"/>
          <w:color w:val="1F1F1F"/>
          <w:sz w:val="22"/>
        </w:rPr>
        <w:t>фактический блок и полный путь Инталев;</w:t>
      </w:r>
    </w:p>
    <w:p>
      <w:pPr>
        <w:pStyle w:val="ContractList"/>
      </w:pPr>
      <w:r>
        <w:rPr>
          <w:rFonts w:ascii="Calibri" w:hAnsi="Calibri" w:eastAsia="Calibri"/>
          <w:b/>
          <w:color w:val="1F4E78"/>
          <w:sz w:val="22"/>
        </w:rPr>
        <w:t xml:space="preserve">— </w:t>
      </w:r>
      <w:r>
        <w:rPr>
          <w:rFonts w:ascii="Calibri" w:hAnsi="Calibri" w:eastAsia="Calibri"/>
          <w:color w:val="1F1F1F"/>
          <w:sz w:val="22"/>
        </w:rPr>
        <w:t>счёт доходов/расходов и счёт расчётов;</w:t>
      </w:r>
    </w:p>
    <w:p>
      <w:pPr>
        <w:pStyle w:val="ContractList"/>
      </w:pPr>
      <w:r>
        <w:rPr>
          <w:rFonts w:ascii="Calibri" w:hAnsi="Calibri" w:eastAsia="Calibri"/>
          <w:b/>
          <w:color w:val="1F4E78"/>
          <w:sz w:val="22"/>
        </w:rPr>
        <w:t xml:space="preserve">— </w:t>
      </w:r>
      <w:r>
        <w:rPr>
          <w:rFonts w:ascii="Calibri" w:hAnsi="Calibri" w:eastAsia="Calibri"/>
          <w:color w:val="1F1F1F"/>
          <w:sz w:val="22"/>
        </w:rPr>
        <w:t>код и блок статьи ERP;</w:t>
      </w:r>
    </w:p>
    <w:p>
      <w:pPr>
        <w:pStyle w:val="ContractList"/>
      </w:pPr>
      <w:r>
        <w:rPr>
          <w:rFonts w:ascii="Calibri" w:hAnsi="Calibri" w:eastAsia="Calibri"/>
          <w:b/>
          <w:color w:val="1F4E78"/>
          <w:sz w:val="22"/>
        </w:rPr>
        <w:t xml:space="preserve">— </w:t>
      </w:r>
      <w:r>
        <w:rPr>
          <w:rFonts w:ascii="Calibri" w:hAnsi="Calibri" w:eastAsia="Calibri"/>
          <w:color w:val="1F1F1F"/>
          <w:sz w:val="22"/>
        </w:rPr>
        <w:t>доказанные примеры журналов;</w:t>
      </w:r>
    </w:p>
    <w:p>
      <w:pPr>
        <w:pStyle w:val="ContractList"/>
      </w:pPr>
      <w:r>
        <w:rPr>
          <w:rFonts w:ascii="Calibri" w:hAnsi="Calibri" w:eastAsia="Calibri"/>
          <w:b/>
          <w:color w:val="1F4E78"/>
          <w:sz w:val="22"/>
        </w:rPr>
        <w:t xml:space="preserve">— </w:t>
      </w:r>
      <w:r>
        <w:rPr>
          <w:rFonts w:ascii="Calibri" w:hAnsi="Calibri" w:eastAsia="Calibri"/>
          <w:color w:val="1F1F1F"/>
          <w:sz w:val="22"/>
        </w:rPr>
        <w:t>содержание и аналитики операций;</w:t>
      </w:r>
    </w:p>
    <w:p>
      <w:pPr>
        <w:pStyle w:val="ContractList"/>
      </w:pPr>
      <w:r>
        <w:rPr>
          <w:rFonts w:ascii="Calibri" w:hAnsi="Calibri" w:eastAsia="Calibri"/>
          <w:b/>
          <w:color w:val="1F4E78"/>
          <w:sz w:val="22"/>
        </w:rPr>
        <w:t xml:space="preserve">— </w:t>
      </w:r>
      <w:r>
        <w:rPr>
          <w:rFonts w:ascii="Calibri" w:hAnsi="Calibri" w:eastAsia="Calibri"/>
          <w:color w:val="1F1F1F"/>
          <w:sz w:val="22"/>
        </w:rPr>
        <w:t>исторически утверждённые правила той же организации и периода действия.</w:t>
      </w:r>
    </w:p>
    <w:p>
      <w:pPr>
        <w:pStyle w:val="Heading2"/>
        <w:keepNext/>
      </w:pPr>
      <w:r>
        <w:t>9.2. Решения пользователя</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000"/>
        <w:gridCol w:w="6360"/>
      </w:tblGrid>
      <w:tr>
        <w:trPr>
          <w:tblHeader w:val="true"/>
          <w:cantSplit/>
        </w:trPr>
        <w:tc>
          <w:tcPr>
            <w:tcW w:type="dxa" w:w="30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Решение</w:t>
            </w:r>
          </w:p>
        </w:tc>
        <w:tc>
          <w:tcPr>
            <w:tcW w:type="dxa" w:w="63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Что происходит</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ПРЕДЛОЖЕНО ДВИЖКОМ</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Оставить кандидатом для поиска; не считать окончательным правилом</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УТВЕРЖДАЮ</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Зафиксировать соответствие статьи и блока</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ИЗМЕНИТЬ</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Указать правильный блок, статью, код и комментарий</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ЗАПРЕТИТЬ</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Никогда не применять это соответствие в указанной области</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НУЖНА ПРОВЕРКА</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Решение отложено; автоматическая корректировка запрещена</w:t>
            </w:r>
          </w:p>
        </w:tc>
      </w:tr>
    </w:tbl>
    <w:p>
      <w:pPr>
        <w:pStyle w:val="Heading2"/>
        <w:keepNext/>
      </w:pPr>
      <w:r>
        <w:t>9.3. Область и версия правила</w:t>
      </w:r>
    </w:p>
    <w:p>
      <w:pPr>
        <w:pStyle w:val="ContractList"/>
      </w:pPr>
      <w:r>
        <w:rPr>
          <w:rFonts w:ascii="Calibri" w:hAnsi="Calibri" w:eastAsia="Calibri"/>
          <w:b/>
          <w:color w:val="1F4E78"/>
          <w:sz w:val="22"/>
        </w:rPr>
        <w:t xml:space="preserve">— </w:t>
      </w:r>
      <w:r>
        <w:rPr>
          <w:rFonts w:ascii="Calibri" w:hAnsi="Calibri" w:eastAsia="Calibri"/>
          <w:color w:val="1F1F1F"/>
          <w:sz w:val="22"/>
        </w:rPr>
        <w:t>Правило фиксируется минимум по организации, блоку Инталев, статье Инталев, статье/коду ERP и дате начала действия.</w:t>
      </w:r>
    </w:p>
    <w:p>
      <w:pPr>
        <w:pStyle w:val="ContractList"/>
      </w:pPr>
      <w:r>
        <w:rPr>
          <w:rFonts w:ascii="Calibri" w:hAnsi="Calibri" w:eastAsia="Calibri"/>
          <w:b/>
          <w:color w:val="1F4E78"/>
          <w:sz w:val="22"/>
        </w:rPr>
        <w:t xml:space="preserve">— </w:t>
      </w:r>
      <w:r>
        <w:rPr>
          <w:rFonts w:ascii="Calibri" w:hAnsi="Calibri" w:eastAsia="Calibri"/>
          <w:color w:val="1F1F1F"/>
          <w:sz w:val="22"/>
        </w:rPr>
        <w:t>Одинаковое название в другой группе не наследует правило автоматически.</w:t>
      </w:r>
    </w:p>
    <w:p>
      <w:pPr>
        <w:pStyle w:val="ContractList"/>
      </w:pPr>
      <w:r>
        <w:rPr>
          <w:rFonts w:ascii="Calibri" w:hAnsi="Calibri" w:eastAsia="Calibri"/>
          <w:b/>
          <w:color w:val="1F4E78"/>
          <w:sz w:val="22"/>
        </w:rPr>
        <w:t xml:space="preserve">— </w:t>
      </w:r>
      <w:r>
        <w:rPr>
          <w:rFonts w:ascii="Calibri" w:hAnsi="Calibri" w:eastAsia="Calibri"/>
          <w:color w:val="1F1F1F"/>
          <w:sz w:val="22"/>
        </w:rPr>
        <w:t>Изменение правила создаёт новую версию; предыдущая версия остаётся в истории.</w:t>
      </w:r>
    </w:p>
    <w:p>
      <w:pPr>
        <w:pStyle w:val="ContractList"/>
      </w:pPr>
      <w:r>
        <w:rPr>
          <w:rFonts w:ascii="Calibri" w:hAnsi="Calibri" w:eastAsia="Calibri"/>
          <w:b/>
          <w:color w:val="1F4E78"/>
          <w:sz w:val="22"/>
        </w:rPr>
        <w:t xml:space="preserve">— </w:t>
      </w:r>
      <w:r>
        <w:rPr>
          <w:rFonts w:ascii="Calibri" w:hAnsi="Calibri" w:eastAsia="Calibri"/>
          <w:color w:val="1F1F1F"/>
          <w:sz w:val="22"/>
        </w:rPr>
        <w:t>Фиксируются пользователь, дата, исходный файл, комментарий и контрольная сумма.</w:t>
      </w:r>
    </w:p>
    <w:p>
      <w:pPr>
        <w:pStyle w:val="ContractList"/>
      </w:pPr>
      <w:r>
        <w:rPr>
          <w:rFonts w:ascii="Calibri" w:hAnsi="Calibri" w:eastAsia="Calibri"/>
          <w:b/>
          <w:color w:val="1F4E78"/>
          <w:sz w:val="22"/>
        </w:rPr>
        <w:t xml:space="preserve">— </w:t>
      </w:r>
      <w:r>
        <w:rPr>
          <w:rFonts w:ascii="Calibri" w:hAnsi="Calibri" w:eastAsia="Calibri"/>
          <w:color w:val="1F1F1F"/>
          <w:sz w:val="22"/>
        </w:rPr>
        <w:t>Утверждение соответствия подтверждает направление поиска, но не подменяет сумму и физическую строку конкретной проводки.</w:t>
      </w:r>
    </w:p>
    <w:p>
      <w:pPr>
        <w:pStyle w:val="Heading2"/>
        <w:keepNext/>
      </w:pPr>
      <w:r>
        <w:t>9.4. Приоритет следующего запуска</w:t>
      </w:r>
    </w:p>
    <w:p>
      <w:pPr>
        <w:pStyle w:val="ContractList"/>
      </w:pPr>
      <w:r>
        <w:rPr>
          <w:rFonts w:ascii="Calibri" w:hAnsi="Calibri" w:eastAsia="Calibri"/>
          <w:b/>
          <w:color w:val="1F4E78"/>
          <w:sz w:val="22"/>
        </w:rPr>
        <w:t xml:space="preserve">— </w:t>
      </w:r>
      <w:r>
        <w:rPr>
          <w:rFonts w:ascii="Calibri" w:hAnsi="Calibri" w:eastAsia="Calibri"/>
          <w:color w:val="1F1F1F"/>
          <w:sz w:val="22"/>
        </w:rPr>
        <w:t>утверждённое соответствие точной организации и выбранного календарного месяца действия;</w:t>
      </w:r>
    </w:p>
    <w:p>
      <w:pPr>
        <w:pStyle w:val="ContractList"/>
      </w:pPr>
      <w:r>
        <w:rPr>
          <w:rFonts w:ascii="Calibri" w:hAnsi="Calibri" w:eastAsia="Calibri"/>
          <w:b/>
          <w:color w:val="1F4E78"/>
          <w:sz w:val="22"/>
        </w:rPr>
        <w:t xml:space="preserve">— </w:t>
      </w:r>
      <w:r>
        <w:rPr>
          <w:rFonts w:ascii="Calibri" w:hAnsi="Calibri" w:eastAsia="Calibri"/>
          <w:color w:val="1F1F1F"/>
          <w:sz w:val="22"/>
        </w:rPr>
        <w:t>уникальная физическая связь журналов;</w:t>
      </w:r>
    </w:p>
    <w:p>
      <w:pPr>
        <w:pStyle w:val="ContractList"/>
      </w:pPr>
      <w:r>
        <w:rPr>
          <w:rFonts w:ascii="Calibri" w:hAnsi="Calibri" w:eastAsia="Calibri"/>
          <w:b/>
          <w:color w:val="1F4E78"/>
          <w:sz w:val="22"/>
        </w:rPr>
        <w:t xml:space="preserve">— </w:t>
      </w:r>
      <w:r>
        <w:rPr>
          <w:rFonts w:ascii="Calibri" w:hAnsi="Calibri" w:eastAsia="Calibri"/>
          <w:color w:val="1F1F1F"/>
          <w:sz w:val="22"/>
        </w:rPr>
        <w:t>реквизит Статьи БДР;</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автоматическая догадка движка;</w:t>
      </w:r>
    </w:p>
    <w:p>
      <w:pPr>
        <w:pStyle w:val="ContractList"/>
      </w:pPr>
      <w:r>
        <w:rPr>
          <w:rFonts w:ascii="Calibri" w:hAnsi="Calibri" w:eastAsia="Calibri"/>
          <w:b/>
          <w:color w:val="1F4E78"/>
          <w:sz w:val="22"/>
        </w:rPr>
        <w:t xml:space="preserve">— </w:t>
      </w:r>
      <w:r>
        <w:rPr>
          <w:rFonts w:ascii="Calibri" w:hAnsi="Calibri" w:eastAsia="Calibri"/>
          <w:color w:val="1F1F1F"/>
          <w:sz w:val="22"/>
        </w:rPr>
        <w:t>ручная проверка.</w:t>
      </w:r>
    </w:p>
    <w:p>
      <w:pPr>
        <w:pStyle w:val="Heading2"/>
      </w:pPr>
      <w:r>
        <w:t>9.5. Лист 01_Правила и фиксация утверждений</w:t>
      </w:r>
    </w:p>
    <w:p>
      <w:pPr/>
      <w:r>
        <w:t>Движок формирует реестр заранее заполненным. Количество строк НУЖНА ПРОВЕРКА определяется фактическими данными запуска и не фиксируется заранее.</w:t>
      </w:r>
    </w:p>
    <w:p>
      <w:pPr>
        <w:pStyle w:val="ContractList"/>
      </w:pPr>
      <w:r>
        <w:t>— Лист 01_Правила содержит статью, блок и полный путь Инталев; счета; предлагаемые блок, статью и код ERP; действие; основание выбора; уверенность; примеры физических проводок; решение пользователя; комментарий и дату начала действия.</w:t>
      </w:r>
    </w:p>
    <w:p>
      <w:pPr>
        <w:pStyle w:val="ContractList"/>
      </w:pPr>
      <w:r>
        <w:t>— Пользователь в первую очередь фильтрует решение НУЖНА ПРОВЕРКА. Однозначные предложения можно утвердить массово только явной кнопкой Утвердить все однозначные; скрытое автоматическое утверждение запрещено.</w:t>
      </w:r>
    </w:p>
    <w:p>
      <w:pPr>
        <w:pStyle w:val="ContractList"/>
      </w:pPr>
      <w:r>
        <w:t>— Допустимы ровно пять решений: УТВЕРЖДАЮ, ИЗМЕНИТЬ, ЗАПРЕТИТЬ, НУЖНА ПРОВЕРКА и ПРЕДЛОЖЕНО ДВИЖКОМ.</w:t>
      </w:r>
    </w:p>
    <w:p>
      <w:pPr>
        <w:pStyle w:val="ContractList"/>
      </w:pPr>
      <w:r>
        <w:t>— Для решения ИЗМЕНИТЬ обязательны правильный блок ERP, правильная статья ERP, код статьи ERP и комментарий пользователя.</w:t>
      </w:r>
    </w:p>
    <w:p>
      <w:pPr>
        <w:pStyle w:val="ContractList"/>
      </w:pPr>
      <w:r>
        <w:t>— Кнопка Зафиксировать утверждения проверяет отсутствие двух разных целей в одной области, существование кода ERP, принадлежность статьи выбранному блоку, заполненную организацию и корректную дату начала действия.</w:t>
      </w:r>
    </w:p>
    <w:p>
      <w:pPr>
        <w:pStyle w:val="ContractList"/>
      </w:pPr>
      <w:r>
        <w:t>— Ошибка проверки не создаёт частично утверждённую версию: пользователю показываются конкретные строки и причины, а предыдущая версия остаётся действующей.</w:t>
      </w:r>
    </w:p>
    <w:p>
      <w:pPr>
        <w:pStyle w:val="ContractList"/>
      </w:pPr>
      <w:r>
        <w:t>— Успешная фиксация атомарно создаёт файл user-settings/approvals/article_registry_&lt;organization_slug&gt;_vNNN.approved.json и отдельную SHA-256 контрольную сумму. Предыдущие версии не перезаписываются.</w:t>
      </w:r>
    </w:p>
    <w:p>
      <w:pPr>
        <w:pStyle w:val="ContractList"/>
      </w:pPr>
      <w:r>
        <w:t>— Approved-файл хранит пользователя, дату фиксации, организацию, период действия, исходный XLSX и его SHA-256, каждое решение, исходную и целевую статью/блок, комментарий, статус доказательства и версию схемы.</w:t>
      </w:r>
    </w:p>
    <w:p>
      <w:pPr>
        <w:pStyle w:val="ContractList"/>
      </w:pPr>
      <w:r>
        <w:t>— В следующем запуске approved-решение имеет приоритет только в совпадающей области организации и периода действия; решение ЗАПРЕТИТЬ блокирует соответствие, а НУЖНА ПРОВЕРКА и ПРЕДЛОЖЕНО ДВИЖКОМ не становятся утверждённым правилом.</w:t>
      </w:r>
    </w:p>
    <w:p>
      <w:pPr>
        <w:pStyle w:val="ContractList"/>
      </w:pPr>
      <w:r>
        <w:t>— Утверждение соответствия статьи не утверждает сумму и не заменяет физическую строку журнала ERP. Без доказанной строки может быть создано только предложение СПОРНО без готовой проводки.</w:t>
      </w:r>
    </w:p>
    <w:p>
      <w:pPr>
        <w:pStyle w:val="Heading2"/>
      </w:pPr>
      <w:r>
        <w:t>9.6. Точная схема и область действия утверждений</w:t>
      </w:r>
    </w:p>
    <w:p>
      <w:pPr>
        <w:pStyle w:val="ContractList"/>
      </w:pPr>
      <w:r>
        <w:t>— 01_Правила является листом того же XLSX-файла сверки, который сформирован текущим запуском. Обратная загрузка принимает только этот лист и проверяет SHA-256 исходной сверки.</w:t>
      </w:r>
    </w:p>
    <w:p>
      <w:pPr>
        <w:pStyle w:val="ContractList"/>
      </w:pPr>
      <w:r>
        <w:t>— Обязательные колонки листа: КлючОбласти, КодОрганизацииERP, ОрганизацияERP, ПериодС, БлокИнталев, ПутьИнталев, СтатьяИнталев, СчетДоходовРасходов, СчетРасчетов, ПредлагаемыйБлокERP, ПредлагаемаяСтатьяERP, КодСтатьиERP, Действие, ОснованиеВыбора, Уверенность, ПримерыПроводок, РешениеПользователя, ПравильныйБлокERP, ПравильнаяСтатьяERP, ПравильныйКодСтатьиERP и КомментарийПользователя.</w:t>
      </w:r>
    </w:p>
    <w:p>
      <w:pPr>
        <w:pStyle w:val="ContractList"/>
      </w:pPr>
      <w:r>
        <w:t>— Начальное РешениеПользователя для единственной валидной цели равно ПРЕДЛОЖЕНО ДВИЖКОМ. Для нескольких целей, конфликта, неизвестного кода или отсутствующей цели используется НУЖНА ПРОВЕРКА.</w:t>
      </w:r>
    </w:p>
    <w:p>
      <w:pPr>
        <w:pStyle w:val="ContractList"/>
      </w:pPr>
      <w:r>
        <w:t>— ПериодС хранится в формате ГГГГ-ММ и действует включительно. Для одного КлючаОбласти в одном месяце активна ровно одна approved-версия; новая версия с тем же ПериодС заменяет предыдущую только в применении, не удаляя её из истории.</w:t>
      </w:r>
    </w:p>
    <w:p>
      <w:pPr>
        <w:pStyle w:val="ContractList"/>
      </w:pPr>
      <w:r>
        <w:t>— Пользователь фиксируется как учётная запись Windows DOMAIN\username; отображаемое имя можно хранить дополнительно, но оно не заменяет системный идентификатор.</w:t>
      </w:r>
    </w:p>
    <w:p>
      <w:pPr>
        <w:pStyle w:val="ContractList"/>
      </w:pPr>
      <w:r>
        <w:t>— organization_slug строится детерминированно из кода верхнего уровня ERP и нормализованного латиницей наименования, например 3_sakhalin. При отсутствии кода фиксация блокируется.</w:t>
      </w:r>
    </w:p>
    <w:p>
      <w:pPr>
        <w:pStyle w:val="ContractList"/>
      </w:pPr>
      <w:r>
        <w:t>— Однозначной для массового утверждения считается только строка с одной существующей ERP-статьёй в выбранном блоке, без альтернативной цели, конфликта области и ошибок обязательных полей. Массовое действие не меняет НУЖНА ПРОВЕРКА и не разрешает финансовую проводку.</w:t>
      </w:r>
    </w:p>
    <w:p>
      <w:pPr>
        <w:pStyle w:val="ContractList"/>
      </w:pPr>
      <w:r>
        <w:t>— При загрузке approved-файла проверяются версия схемы, SHA-256, организация и период действия. Повреждённая или чужая версия отклоняется с диагностикой; движок использует последнюю предыдущую валидную версию, если она существует.</w:t>
      </w:r>
    </w:p>
    <w:p>
      <w:pPr>
        <w:pStyle w:val="Heading1"/>
        <w:keepNext/>
      </w:pPr>
      <w:r>
        <w:t>10. Группы с нулевой дельтой</w:t>
      </w:r>
    </w:p>
    <w:p>
      <w:pPr>
        <w:pStyle w:val="ContractList"/>
      </w:pPr>
      <w:r>
        <w:rPr>
          <w:rFonts w:ascii="Calibri" w:hAnsi="Calibri" w:eastAsia="Calibri"/>
          <w:b/>
          <w:color w:val="1F4E78"/>
          <w:sz w:val="22"/>
        </w:rPr>
        <w:t xml:space="preserve">— </w:t>
      </w:r>
      <w:r>
        <w:rPr>
          <w:rFonts w:ascii="Calibri" w:hAnsi="Calibri" w:eastAsia="Calibri"/>
          <w:color w:val="1F1F1F"/>
          <w:sz w:val="22"/>
        </w:rPr>
        <w:t>Интерфейс показывает только фактические верхнеуровневые блоки расходов, а не служебные итоги и отдельные статьи.</w:t>
      </w:r>
    </w:p>
    <w:p>
      <w:pPr>
        <w:pStyle w:val="ContractList"/>
      </w:pPr>
      <w:r>
        <w:rPr>
          <w:rFonts w:ascii="Calibri" w:hAnsi="Calibri" w:eastAsia="Calibri"/>
          <w:b/>
          <w:color w:val="1F4E78"/>
          <w:sz w:val="22"/>
        </w:rPr>
        <w:t xml:space="preserve">— </w:t>
      </w:r>
      <w:r>
        <w:rPr>
          <w:rFonts w:ascii="Calibri" w:hAnsi="Calibri" w:eastAsia="Calibri"/>
          <w:color w:val="1F1F1F"/>
          <w:sz w:val="22"/>
        </w:rPr>
        <w:t>Слева пользователь выбирает блоки Инталев, справа — отдельные блоки ERP; структуры не объединяются.</w:t>
      </w:r>
    </w:p>
    <w:p>
      <w:pPr>
        <w:pStyle w:val="ContractList"/>
      </w:pPr>
      <w:r>
        <w:rPr>
          <w:rFonts w:ascii="Calibri" w:hAnsi="Calibri" w:eastAsia="Calibri"/>
          <w:b/>
          <w:color w:val="1F4E78"/>
          <w:sz w:val="22"/>
        </w:rPr>
        <w:t xml:space="preserve">— </w:t>
      </w:r>
      <w:r>
        <w:rPr>
          <w:rFonts w:ascii="Calibri" w:hAnsi="Calibri" w:eastAsia="Calibri"/>
          <w:color w:val="1F1F1F"/>
          <w:sz w:val="22"/>
        </w:rPr>
        <w:t>Контроль: сумма выбранных блоков Инталев минус сумма выбранных блоков ERP должна равняться нулю.</w:t>
      </w:r>
    </w:p>
    <w:p>
      <w:pPr>
        <w:pStyle w:val="ContractList"/>
      </w:pPr>
      <w:r>
        <w:rPr>
          <w:rFonts w:ascii="Calibri" w:hAnsi="Calibri" w:eastAsia="Calibri"/>
          <w:b/>
          <w:color w:val="1F4E78"/>
          <w:sz w:val="22"/>
        </w:rPr>
        <w:t xml:space="preserve">— </w:t>
      </w:r>
      <w:r>
        <w:rPr>
          <w:rFonts w:ascii="Calibri" w:hAnsi="Calibri" w:eastAsia="Calibri"/>
          <w:color w:val="1F1F1F"/>
          <w:sz w:val="22"/>
        </w:rPr>
        <w:t>Только после нулевого контроля группа может быть сохранена и исключена из межгруппового пересорта.</w:t>
      </w:r>
    </w:p>
    <w:p>
      <w:pPr>
        <w:pStyle w:val="ContractList"/>
      </w:pPr>
      <w:r>
        <w:rPr>
          <w:rFonts w:ascii="Calibri" w:hAnsi="Calibri" w:eastAsia="Calibri"/>
          <w:b/>
          <w:color w:val="1F4E78"/>
          <w:sz w:val="22"/>
        </w:rPr>
        <w:t xml:space="preserve">— </w:t>
      </w:r>
      <w:r>
        <w:rPr>
          <w:rFonts w:ascii="Calibri" w:hAnsi="Calibri" w:eastAsia="Calibri"/>
          <w:color w:val="1F1F1F"/>
          <w:sz w:val="22"/>
        </w:rPr>
        <w:t>Сама группа не создаёт проводок и не меняет исходные суммы.</w:t>
      </w:r>
    </w:p>
    <w:p>
      <w:pPr>
        <w:pStyle w:val="Heading2"/>
      </w:pPr>
      <w:r>
        <w:t>10.1. Дополнительные логические правила</w:t>
      </w:r>
    </w:p>
    <w:p>
      <w:pPr>
        <w:pStyle w:val="ContractList"/>
      </w:pPr>
      <w:r>
        <w:t>— (1) По умолчанию проверяются все экономически значимые группы одной выбранной организации и одного выбранного полного календарного месяца. Пользовательская настройка может исключить отдельные группы из определённого вида сопоставления, но не должна ограничивать проверку только заранее перечисленным набором.</w:t>
      </w:r>
    </w:p>
    <w:p>
      <w:pPr>
        <w:pStyle w:val="ContractList"/>
      </w:pPr>
      <w:r>
        <w:t>— (1) Сверка всегда выполняется раздельно по одной организации и одному полному календарному месяцу YYYY-MM. Смешение и взаимозачёт расхождений между организациями или месяцами не допускаются.</w:t>
      </w:r>
    </w:p>
    <w:p>
      <w:pPr>
        <w:pStyle w:val="ContractList"/>
      </w:pPr>
      <w:r>
        <w:t>— (1) Сначала анализируются межгрупповые расхождения, и только после их обработки — оставшиеся внутригрупповые расхождения внутри участвующих групп.</w:t>
      </w:r>
    </w:p>
    <w:p>
      <w:pPr>
        <w:pStyle w:val="ContractList"/>
      </w:pPr>
      <w:r>
        <w:t>— (1) Межгрупповая переклассификация рассматривается как одна целостная операция с двумя направлениями: снятие суммы с ошибочной классификации и отражение той же суммы в правильной классификации.</w:t>
      </w:r>
    </w:p>
    <w:p>
      <w:pPr>
        <w:pStyle w:val="ContractList"/>
      </w:pPr>
      <w:r>
        <w:t>— (1) Одна и та же сумма, строка источника, SourceRowID или выявленный остаток может быть использована для объяснения расхождения только один раз и только в своём месяце. Повторное использование уже закрытого эффекта, в том числе в другом месячном запуске, запрещено.</w:t>
      </w:r>
    </w:p>
    <w:p>
      <w:pPr>
        <w:pStyle w:val="ContractList"/>
      </w:pPr>
      <w:r>
        <w:t>— (1) После закрытия части расхождения дальнейший анализ выполняется только по оставшемуся непокрытому остатку, а не по полной исходной сумме группы.</w:t>
      </w:r>
    </w:p>
    <w:p>
      <w:pPr>
        <w:pStyle w:val="ContractList"/>
      </w:pPr>
      <w:r>
        <w:t>— (1) Закрытая родительская дельта не должна возникать повторно из-за анализа дочерних строк. Дочерние строки используются только для объяснения собственного непокрытого остатка.</w:t>
      </w:r>
    </w:p>
    <w:p>
      <w:pPr>
        <w:pStyle w:val="ContractList"/>
      </w:pPr>
      <w:r>
        <w:t>— (1) Простое совпадение сумм не считается достаточным доказательством связи. Для корректировки требуется подтверждённая экономическая связь и, отдельно, подтверждение конкретной физической операции.</w:t>
      </w:r>
    </w:p>
    <w:p>
      <w:pPr>
        <w:pStyle w:val="ContractList"/>
      </w:pPr>
      <w:r>
        <w:t>— (1) Допускаются связи одна строка к одной, одна к нескольким, несколько к одной и несколько к нескольким, если все части относятся к одному доказанному экономическому переносу и каждая часть используется один раз.</w:t>
      </w:r>
    </w:p>
    <w:p>
      <w:pPr>
        <w:pStyle w:val="ContractList"/>
      </w:pPr>
      <w:r>
        <w:t>— (1) Если найдено несколько возможных физических операций и нельзя однозначно определить нужную, они остаются кандидатами для проверки. Экономическая строка не размножается по числу кандидатов и не получает реквизиты ни одного из них без доказательства.</w:t>
      </w:r>
    </w:p>
    <w:p>
      <w:pPr>
        <w:pStyle w:val="ContractList"/>
      </w:pPr>
      <w:r>
        <w:t>— (1) Если экономическое направление доказано, а конкретная физическая операция определена не полностью, формируется только строка для ручной проверки. Неизвестные реквизиты остаются пустыми и не подставляются по умолчанию.</w:t>
      </w:r>
    </w:p>
    <w:p>
      <w:pPr>
        <w:pStyle w:val="ContractList"/>
      </w:pPr>
      <w:r>
        <w:t>— (1) Организация, выбранная для сверки, и организация конкретной физической операции рассматриваются раздельно. Неизвестная организация физической операции не заменяется организацией сверки.</w:t>
      </w:r>
    </w:p>
    <w:p>
      <w:pPr>
        <w:pStyle w:val="ContractList"/>
      </w:pPr>
      <w:r>
        <w:t>— (1) Пустая статья в источнике не должна исчезать из основного отчёта. Её сумма показывается в фактическом месте иерархии и включается в родительский итог ровно один раз.</w:t>
      </w:r>
    </w:p>
    <w:p>
      <w:pPr>
        <w:pStyle w:val="ContractList"/>
      </w:pPr>
      <w:r>
        <w:t>— (1) Родительский итог рассчитывается с учётом как классифицированных, так и неклассифицированных сумм. Использование только классифицированной части для расчёта родительской дельты не допускается.</w:t>
      </w:r>
    </w:p>
    <w:p>
      <w:pPr>
        <w:pStyle w:val="ContractList"/>
      </w:pPr>
      <w:r>
        <w:t>— (1) Если доказано, что строка с пустой статьёй в одном источнике соответствует той же физической операции с заполненной статьёй в другом источнике, это считается различием классификации и не требует финансовой корректировки.</w:t>
      </w:r>
    </w:p>
    <w:p>
      <w:pPr>
        <w:pStyle w:val="ContractList"/>
      </w:pPr>
      <w:r>
        <w:t>— (1) Пользовательская группа верхнеуровневых блоков является контрольным объединением, а не правилом пропуска проверки. Даже при нулевой общей дельте дочерние статьи выбранных блоков продолжают проверяться.</w:t>
      </w:r>
    </w:p>
    <w:p>
      <w:pPr>
        <w:pStyle w:val="ContractList"/>
      </w:pPr>
      <w:r>
        <w:t>— (1) Если у контрольной группы общая дельта равна нулю, закрывается только общий структурный эффект. Если общая дельта не равна нулю, остаток остаётся открытым межгрупповым расхождением и должен искать встречную сторону среди остальных допустимых групп.</w:t>
      </w:r>
    </w:p>
    <w:p>
      <w:pPr>
        <w:pStyle w:val="ContractList"/>
      </w:pPr>
      <w:r>
        <w:t>— (1) Закрывающие или распределительные бухгалтерские строки должны оставаться видимыми для доказательства движения суммы, но не должны повторно увеличивать расход, если они отражают уже учтённую экономическую операцию.</w:t>
      </w:r>
    </w:p>
    <w:p>
      <w:pPr>
        <w:pStyle w:val="ContractList"/>
      </w:pPr>
      <w:r>
        <w:t>— (1) Каждый запуск анализирует только один полный календарный месяц. Квартал, год и произвольный многомесячный диапазон не поддерживаются как область расчёта R17; последовательные месячные результаты не объединяются и не скрывают расхождения взаимозачётом.</w:t>
      </w:r>
    </w:p>
    <w:p>
      <w:pPr>
        <w:pStyle w:val="ContractList"/>
      </w:pPr>
      <w:r>
        <w:t>— (1) Каждое обнаруженное расхождение должно иметь один понятный итоговый статус: доказанная переклассификация, структурное различие без проводки, различие классификации без проводки, строка для ручной проверки либо явная причина блокировки.</w:t>
      </w:r>
    </w:p>
    <w:p>
      <w:pPr>
        <w:pStyle w:val="ContractList"/>
      </w:pPr>
      <w:r>
        <w:t>— (1) Для парной корректировки сумма снятия и сумма нового отражения должны быть равны по абсолютной величине, а общий экономический результат пары должен оставаться нулевым.</w:t>
      </w:r>
    </w:p>
    <w:p>
      <w:pPr>
        <w:pStyle w:val="ContractList"/>
      </w:pPr>
      <w:r>
        <w:t>— (1) Наличие отчёта, найденного журнала или высокой уверенности сопоставления само по себе не разрешает автоматическую загрузку или проведение. Финансовое действие допускается только после отдельного пользовательского решения вне данного расчёта.</w:t>
      </w:r>
    </w:p>
    <w:p>
      <w:pPr>
        <w:pStyle w:val="Heading1"/>
        <w:keepNext/>
      </w:pPr>
      <w:r>
        <w:t>11. Пользовательский интерфейс</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300"/>
        <w:gridCol w:w="7060"/>
      </w:tblGrid>
      <w:tr>
        <w:trPr>
          <w:tblHeader w:val="true"/>
          <w:cantSplit/>
        </w:trPr>
        <w:tc>
          <w:tcPr>
            <w:tcW w:type="dxa" w:w="23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Блок интерфейса</w:t>
            </w:r>
          </w:p>
        </w:tc>
        <w:tc>
          <w:tcPr>
            <w:tcW w:type="dxa" w:w="70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Обязательное поведение</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Инталев</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Автовыбор последнего источника; кнопка замены и фиксации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ERP</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Выбор ZIP/Excel/папки; явный статус наличия журнала</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Период</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Только месяц YYYY-MM; год, квартал и произвольный диапазон отклоняются</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Организация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Только верхние уровни ERP; автоматическое предложение без смешения организаций</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Результат</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Короткий путь, кнопки открыть отчёт/папку</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Действия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Сформировать сверку, нулевые группы, реестр статей, корректировки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Утверждение статей</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Отдельное окно: фильтр НУЖНА ПРОВЕРКА, кнопки Утвердить, Изменить, Запретить, Утвердить все однозначные и Зафиксировать утверждения</w:t>
            </w:r>
          </w:p>
        </w:tc>
      </w:tr>
    </w:tbl>
    <w:p>
      <w:pPr/>
      <w:r>
        <w:rPr>
          <w:rFonts w:ascii="Calibri" w:hAnsi="Calibri" w:eastAsia="Calibri"/>
          <w:i w:val="0"/>
          <w:color w:val="1F1F1F"/>
          <w:sz w:val="22"/>
        </w:rPr>
        <w:t>После завершения расчёта индикатор должен остановиться, интерфейс — перейти в состояние Готово, а процесс не должен оставаться зависшим. Если используется локальный порт, перед каждым запуском launcher определяет точный порт текущего приложения, проверяет владельца слушающего процесса, завершает только предыдущий экземпляр OPIU и всё его дочернее дерево, затем дожидается подтверждения, что порт свободен. Новый интерфейс открывается только после успешной проверки освобождения порта. Запрещено завершать посторонний процесс только по совпадению номера порта. Если порт не освободился за установленный тайм-аут, запуск блокируется понятным сообщением с номером порта, PID владельца и путём к диагностическому журналу. Быстрый повторный запуск не должен подключаться к старому процессу или открывать файл до готовности нового экземпляра. В автономном варианте без локального порта эта проверка не требуется.</w:t>
      </w:r>
    </w:p>
    <w:p>
      <w:pPr/>
      <w:r>
        <w:rPr>
          <w:rFonts w:ascii="Calibri" w:hAnsi="Calibri" w:eastAsia="Calibri"/>
          <w:i w:val="0"/>
          <w:color w:val="1F1F1F"/>
          <w:sz w:val="22"/>
        </w:rPr>
        <w:t>Сообщение об ошибке должно называть конкретную причину: неверный тип источника, одинаковые файлы Инталев/ERP, отсутствующий или неподдерживаемый период, несовпадение организации, отсутствие журнала или неоднозначность. Форматы YYYY, YYYY-QN и произвольный диапазон отклоняются явно.</w:t>
      </w:r>
    </w:p>
    <w:p>
      <w:pPr>
        <w:pStyle w:val="Heading1"/>
        <w:keepNext/>
      </w:pPr>
      <w:r>
        <w:t>12. Выходные данные</w:t>
      </w:r>
    </w:p>
    <w:p>
      <w:pPr>
        <w:pStyle w:val="Heading2"/>
        <w:keepNext/>
      </w:pPr>
      <w:r>
        <w:t>12.1. Сверка XLSX</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700"/>
        <w:gridCol w:w="6660"/>
      </w:tblGrid>
      <w:tr>
        <w:trPr>
          <w:tblHeader w:val="true"/>
          <w:cantSplit/>
        </w:trPr>
        <w:tc>
          <w:tcPr>
            <w:tcW w:type="dxa" w:w="27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Лист</w:t>
            </w:r>
          </w:p>
        </w:tc>
        <w:tc>
          <w:tcPr>
            <w:tcW w:type="dxa" w:w="66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Назначение</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00_Паспорт</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Контекст запуска, организация, период, источники и статусы безопасности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01_Сверка_дерево</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Полная фактическая иерархия Инталев, статьи ERP, суммы, дельты и статусы</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01_Сверка_ОПИУ</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Плоская управленческая сверка</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01_Правила</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Заранее заполненный реестр сопоставлений, пять решений пользователя, основания, уверенность, примеры проводок и поля фиксации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02_Помесячно</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Доказательная детализация выбранного календарного месяца; межмесячная агрегация отсутствует</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03_Инталев_узлы</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Аудит узлов и путей Инталев</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03A_Пустые_статьи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Пустые статьи и их детали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04_ERP_статьи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Статьи и пути ERP</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04A_Расхождения_проводок</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Доказанные, неоднозначные и несопоставленные журнальные кандидаты</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04B_R001_решения</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Решения для корректировочного движка</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05_Несопоставленные</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Остатки, требующие проверки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06_Источники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Пути, роли и SHA-256 источников</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07_Контроли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Суммы, повторное использование, формулы и статус модели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08_Операции_журнала</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Физические операции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08_Решения_обоснование</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Понятное объяснение каждого решения</w:t>
            </w:r>
          </w:p>
        </w:tc>
      </w:tr>
    </w:tbl>
    <w:p>
      <w:pPr>
        <w:pStyle w:val="Heading2"/>
        <w:keepNext/>
      </w:pPr>
      <w:r>
        <w:t>12.2. Формат комплекта корректировок</w:t>
      </w:r>
    </w:p>
    <w:p>
      <w:pPr>
        <w:pStyle w:val="ContractList"/>
      </w:pPr>
      <w:r>
        <w:t>— (1) Для одной выбранной организации и одного полного календарного месяца формируется независимый комплект результатов. Пользователь получает отдельно сверку, подтверждённые корректировки, спорные корректировки и реестр решений этого месяца.</w:t>
      </w:r>
    </w:p>
    <w:p>
      <w:pPr>
        <w:pStyle w:val="ContractList"/>
      </w:pPr>
      <w:r>
        <w:t>— (1) Подтверждённые корректировки сохраняются в файл Excel с именем: [Организация][ДД.ММ.ГГГГ]_ОПИУ_ГОТОВО.xlsx.</w:t>
      </w:r>
    </w:p>
    <w:p>
      <w:pPr>
        <w:pStyle w:val="ContractList"/>
      </w:pPr>
      <w:r>
        <w:t>— (1) Корректировки, требующие ручной проверки, сохраняются отдельно в файл: [Организация][ДД.ММ.ГГГГ]_ОПИУ_ГОТОВО_СПОРНО.xlsx. Если исходная организация не доказана, в имени файла указывается «ИСТОЧНИК НЕ ОПРЕДЕЛЕН».</w:t>
      </w:r>
    </w:p>
    <w:p>
      <w:pPr>
        <w:pStyle w:val="ContractList"/>
      </w:pPr>
      <w:r>
        <w:t>— (1) Дата в имени корректировочного файла соответствует дате, для которой сформированы строки корректировки; при формировании единого месячного файла используется последний календарный день месяца.</w:t>
      </w:r>
    </w:p>
    <w:p>
      <w:pPr>
        <w:pStyle w:val="ContractList"/>
      </w:pPr>
      <w:r>
        <w:t>— (1) Файл создаётся только при наличии строк соответствующего типа. Пустой файл не должен выдаваться как успешный результат.</w:t>
      </w:r>
    </w:p>
    <w:p>
      <w:pPr>
        <w:pStyle w:val="ContractList"/>
      </w:pPr>
      <w:r>
        <w:t>— (1) Все строки одной организации и одной даты, предназначенные для одного файла, объединяются в один файл; одинаковая физическая операция не должна дублироваться.</w:t>
      </w:r>
    </w:p>
    <w:p>
      <w:pPr>
        <w:pStyle w:val="ContractList"/>
      </w:pPr>
      <w:r>
        <w:t>— (1) Корректировочный файл содержит ровно один загрузочный лист с наименованием «Загрузка_A_AA». Заголовки расположены в первой строке, данные начинаются со второй строки.</w:t>
      </w:r>
    </w:p>
    <w:p>
      <w:pPr>
        <w:pStyle w:val="ContractList"/>
      </w:pPr>
      <w:r>
        <w:t>— (1) Формат загрузочного листа фиксированный: 27 колонок A:AA. Порядок и наименование колонок являются частью контракта и не могут изменяться без новой версии контракта.</w:t>
      </w:r>
    </w:p>
    <w:p>
      <w:pPr>
        <w:pStyle w:val="Heading2"/>
        <w:keepNext/>
      </w:pPr>
      <w:r>
        <w:t>12.3. Обязательные колонки корректировочного файла</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907"/>
            <w:vAlign w:val="center"/>
            <w:tcMar>
              <w:top w:w="80" w:type="dxa"/>
              <w:left w:w="80" w:type="dxa"/>
              <w:bottom w:w="80" w:type="dxa"/>
              <w:right w:w="80" w:type="dxa"/>
            </w:tcMar>
          </w:tcPr>
          <w:p>
            <w:pPr>
              <w:spacing w:after="0" w:line="240" w:lineRule="auto"/>
            </w:pPr>
            <w:r>
              <w:rPr>
                <w:b/>
                <w:sz w:val="17"/>
              </w:rPr>
              <w:t>Колонка</w:t>
            </w:r>
          </w:p>
        </w:tc>
        <w:tc>
          <w:tcPr>
            <w:tcW w:type="dxa" w:w="3402"/>
            <w:vAlign w:val="center"/>
            <w:tcMar>
              <w:top w:w="80" w:type="dxa"/>
              <w:left w:w="80" w:type="dxa"/>
              <w:bottom w:w="80" w:type="dxa"/>
              <w:right w:w="80" w:type="dxa"/>
            </w:tcMar>
          </w:tcPr>
          <w:p>
            <w:pPr>
              <w:spacing w:after="0" w:line="240" w:lineRule="auto"/>
            </w:pPr>
            <w:r>
              <w:rPr>
                <w:b/>
                <w:sz w:val="17"/>
              </w:rPr>
              <w:t>Наименование</w:t>
            </w:r>
          </w:p>
        </w:tc>
        <w:tc>
          <w:tcPr>
            <w:tcW w:type="dxa" w:w="5216"/>
            <w:vAlign w:val="center"/>
            <w:tcMar>
              <w:top w:w="80" w:type="dxa"/>
              <w:left w:w="80" w:type="dxa"/>
              <w:bottom w:w="80" w:type="dxa"/>
              <w:right w:w="80" w:type="dxa"/>
            </w:tcMar>
          </w:tcPr>
          <w:p>
            <w:pPr>
              <w:spacing w:after="0" w:line="240" w:lineRule="auto"/>
            </w:pPr>
            <w:r>
              <w:rPr>
                <w:b/>
                <w:sz w:val="17"/>
              </w:rPr>
              <w:t>Правило заполнения</w:t>
            </w:r>
          </w:p>
        </w:tc>
      </w:tr>
      <w:tr>
        <w:tc>
          <w:tcPr>
            <w:tcW w:type="dxa" w:w="907"/>
            <w:vAlign w:val="center"/>
            <w:tcMar>
              <w:top w:w="80" w:type="dxa"/>
              <w:left w:w="80" w:type="dxa"/>
              <w:bottom w:w="80" w:type="dxa"/>
              <w:right w:w="80" w:type="dxa"/>
            </w:tcMar>
          </w:tcPr>
          <w:p>
            <w:pPr>
              <w:spacing w:after="0" w:line="240" w:lineRule="auto"/>
            </w:pPr>
            <w:r>
              <w:rPr>
                <w:sz w:val="17"/>
              </w:rPr>
              <w:t>A</w:t>
            </w:r>
          </w:p>
        </w:tc>
        <w:tc>
          <w:tcPr>
            <w:tcW w:type="dxa" w:w="3402"/>
            <w:vAlign w:val="center"/>
            <w:tcMar>
              <w:top w:w="80" w:type="dxa"/>
              <w:left w:w="80" w:type="dxa"/>
              <w:bottom w:w="80" w:type="dxa"/>
              <w:right w:w="80" w:type="dxa"/>
            </w:tcMar>
          </w:tcPr>
          <w:p>
            <w:pPr>
              <w:spacing w:after="0" w:line="240" w:lineRule="auto"/>
            </w:pPr>
            <w:r>
              <w:rPr>
                <w:sz w:val="17"/>
              </w:rPr>
              <w:t>СчетДт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B</w:t>
            </w:r>
          </w:p>
        </w:tc>
        <w:tc>
          <w:tcPr>
            <w:tcW w:type="dxa" w:w="3402"/>
            <w:vAlign w:val="center"/>
            <w:tcMar>
              <w:top w:w="80" w:type="dxa"/>
              <w:left w:w="80" w:type="dxa"/>
              <w:bottom w:w="80" w:type="dxa"/>
              <w:right w:w="80" w:type="dxa"/>
            </w:tcMar>
          </w:tcPr>
          <w:p>
            <w:pPr>
              <w:spacing w:after="0" w:line="240" w:lineRule="auto"/>
            </w:pPr>
            <w:r>
              <w:rPr>
                <w:sz w:val="17"/>
              </w:rPr>
              <w:t>СчетКт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C</w:t>
            </w:r>
          </w:p>
        </w:tc>
        <w:tc>
          <w:tcPr>
            <w:tcW w:type="dxa" w:w="3402"/>
            <w:vAlign w:val="center"/>
            <w:tcMar>
              <w:top w:w="80" w:type="dxa"/>
              <w:left w:w="80" w:type="dxa"/>
              <w:bottom w:w="80" w:type="dxa"/>
              <w:right w:w="80" w:type="dxa"/>
            </w:tcMar>
          </w:tcPr>
          <w:p>
            <w:pPr>
              <w:spacing w:after="0" w:line="240" w:lineRule="auto"/>
            </w:pPr>
            <w:r>
              <w:rPr>
                <w:sz w:val="17"/>
              </w:rPr>
              <w:t>ВалютаДт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D</w:t>
            </w:r>
          </w:p>
        </w:tc>
        <w:tc>
          <w:tcPr>
            <w:tcW w:type="dxa" w:w="3402"/>
            <w:vAlign w:val="center"/>
            <w:tcMar>
              <w:top w:w="80" w:type="dxa"/>
              <w:left w:w="80" w:type="dxa"/>
              <w:bottom w:w="80" w:type="dxa"/>
              <w:right w:w="80" w:type="dxa"/>
            </w:tcMar>
          </w:tcPr>
          <w:p>
            <w:pPr>
              <w:spacing w:after="0" w:line="240" w:lineRule="auto"/>
            </w:pPr>
            <w:r>
              <w:rPr>
                <w:sz w:val="17"/>
              </w:rPr>
              <w:t>ВалютаКт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E</w:t>
            </w:r>
          </w:p>
        </w:tc>
        <w:tc>
          <w:tcPr>
            <w:tcW w:type="dxa" w:w="3402"/>
            <w:vAlign w:val="center"/>
            <w:tcMar>
              <w:top w:w="80" w:type="dxa"/>
              <w:left w:w="80" w:type="dxa"/>
              <w:bottom w:w="80" w:type="dxa"/>
              <w:right w:w="80" w:type="dxa"/>
            </w:tcMar>
          </w:tcPr>
          <w:p>
            <w:pPr>
              <w:spacing w:after="0" w:line="240" w:lineRule="auto"/>
            </w:pPr>
            <w:r>
              <w:rPr>
                <w:sz w:val="17"/>
              </w:rPr>
              <w:t>ВидОперации</w:t>
            </w:r>
          </w:p>
        </w:tc>
        <w:tc>
          <w:tcPr>
            <w:tcW w:type="dxa" w:w="5216"/>
            <w:vAlign w:val="center"/>
            <w:tcMar>
              <w:top w:w="80" w:type="dxa"/>
              <w:left w:w="80" w:type="dxa"/>
              <w:bottom w:w="80" w:type="dxa"/>
              <w:right w:w="80" w:type="dxa"/>
            </w:tcMar>
          </w:tcPr>
          <w:p>
            <w:pPr>
              <w:spacing w:after="0" w:line="240" w:lineRule="auto"/>
            </w:pPr>
            <w:r>
              <w:rPr>
                <w:sz w:val="17"/>
              </w:rPr>
              <w:t>Только STORNO или REPOST.</w:t>
            </w:r>
          </w:p>
        </w:tc>
      </w:tr>
      <w:tr>
        <w:tc>
          <w:tcPr>
            <w:tcW w:type="dxa" w:w="907"/>
            <w:vAlign w:val="center"/>
            <w:tcMar>
              <w:top w:w="80" w:type="dxa"/>
              <w:left w:w="80" w:type="dxa"/>
              <w:bottom w:w="80" w:type="dxa"/>
              <w:right w:w="80" w:type="dxa"/>
            </w:tcMar>
          </w:tcPr>
          <w:p>
            <w:pPr>
              <w:spacing w:after="0" w:line="240" w:lineRule="auto"/>
            </w:pPr>
            <w:r>
              <w:rPr>
                <w:sz w:val="17"/>
              </w:rPr>
              <w:t>F</w:t>
            </w:r>
          </w:p>
        </w:tc>
        <w:tc>
          <w:tcPr>
            <w:tcW w:type="dxa" w:w="3402"/>
            <w:vAlign w:val="center"/>
            <w:tcMar>
              <w:top w:w="80" w:type="dxa"/>
              <w:left w:w="80" w:type="dxa"/>
              <w:bottom w:w="80" w:type="dxa"/>
              <w:right w:w="80" w:type="dxa"/>
            </w:tcMar>
          </w:tcPr>
          <w:p>
            <w:pPr>
              <w:spacing w:after="0" w:line="240" w:lineRule="auto"/>
            </w:pPr>
            <w:r>
              <w:rPr>
                <w:sz w:val="17"/>
              </w:rPr>
              <w:t>ПодразделениеДт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G</w:t>
            </w:r>
          </w:p>
        </w:tc>
        <w:tc>
          <w:tcPr>
            <w:tcW w:type="dxa" w:w="3402"/>
            <w:vAlign w:val="center"/>
            <w:tcMar>
              <w:top w:w="80" w:type="dxa"/>
              <w:left w:w="80" w:type="dxa"/>
              <w:bottom w:w="80" w:type="dxa"/>
              <w:right w:w="80" w:type="dxa"/>
            </w:tcMar>
          </w:tcPr>
          <w:p>
            <w:pPr>
              <w:spacing w:after="0" w:line="240" w:lineRule="auto"/>
            </w:pPr>
            <w:r>
              <w:rPr>
                <w:sz w:val="17"/>
              </w:rPr>
              <w:t>ПодразделениеКт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H</w:t>
            </w:r>
          </w:p>
        </w:tc>
        <w:tc>
          <w:tcPr>
            <w:tcW w:type="dxa" w:w="3402"/>
            <w:vAlign w:val="center"/>
            <w:tcMar>
              <w:top w:w="80" w:type="dxa"/>
              <w:left w:w="80" w:type="dxa"/>
              <w:bottom w:w="80" w:type="dxa"/>
              <w:right w:w="80" w:type="dxa"/>
            </w:tcMar>
          </w:tcPr>
          <w:p>
            <w:pPr>
              <w:spacing w:after="0" w:line="240" w:lineRule="auto"/>
            </w:pPr>
            <w:r>
              <w:rPr>
                <w:sz w:val="17"/>
              </w:rPr>
              <w:t>НаправлениеДеятельностиДт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I</w:t>
            </w:r>
          </w:p>
        </w:tc>
        <w:tc>
          <w:tcPr>
            <w:tcW w:type="dxa" w:w="3402"/>
            <w:vAlign w:val="center"/>
            <w:tcMar>
              <w:top w:w="80" w:type="dxa"/>
              <w:left w:w="80" w:type="dxa"/>
              <w:bottom w:w="80" w:type="dxa"/>
              <w:right w:w="80" w:type="dxa"/>
            </w:tcMar>
          </w:tcPr>
          <w:p>
            <w:pPr>
              <w:spacing w:after="0" w:line="240" w:lineRule="auto"/>
            </w:pPr>
            <w:r>
              <w:rPr>
                <w:sz w:val="17"/>
              </w:rPr>
              <w:t>НаправлениеДеятельностиКт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J</w:t>
            </w:r>
          </w:p>
        </w:tc>
        <w:tc>
          <w:tcPr>
            <w:tcW w:type="dxa" w:w="3402"/>
            <w:vAlign w:val="center"/>
            <w:tcMar>
              <w:top w:w="80" w:type="dxa"/>
              <w:left w:w="80" w:type="dxa"/>
              <w:bottom w:w="80" w:type="dxa"/>
              <w:right w:w="80" w:type="dxa"/>
            </w:tcMar>
          </w:tcPr>
          <w:p>
            <w:pPr>
              <w:spacing w:after="0" w:line="240" w:lineRule="auto"/>
            </w:pPr>
            <w:r>
              <w:rPr>
                <w:sz w:val="17"/>
              </w:rPr>
              <w:t>СуммаВВалютеУчета</w:t>
            </w:r>
          </w:p>
        </w:tc>
        <w:tc>
          <w:tcPr>
            <w:tcW w:type="dxa" w:w="5216"/>
            <w:vAlign w:val="center"/>
            <w:tcMar>
              <w:top w:w="80" w:type="dxa"/>
              <w:left w:w="80" w:type="dxa"/>
              <w:bottom w:w="80" w:type="dxa"/>
              <w:right w:w="80" w:type="dxa"/>
            </w:tcMar>
          </w:tcPr>
          <w:p>
            <w:pPr>
              <w:spacing w:after="0" w:line="240" w:lineRule="auto"/>
            </w:pPr>
            <w:r>
              <w:rPr>
                <w:sz w:val="17"/>
              </w:rPr>
              <w:t>Число с точностью до копеек. Для STORNO — отрицательное, для REPOST — положительное.</w:t>
            </w:r>
          </w:p>
        </w:tc>
      </w:tr>
      <w:tr>
        <w:tc>
          <w:tcPr>
            <w:tcW w:type="dxa" w:w="907"/>
            <w:vAlign w:val="center"/>
            <w:tcMar>
              <w:top w:w="80" w:type="dxa"/>
              <w:left w:w="80" w:type="dxa"/>
              <w:bottom w:w="80" w:type="dxa"/>
              <w:right w:w="80" w:type="dxa"/>
            </w:tcMar>
          </w:tcPr>
          <w:p>
            <w:pPr>
              <w:spacing w:after="0" w:line="240" w:lineRule="auto"/>
            </w:pPr>
            <w:r>
              <w:rPr>
                <w:sz w:val="17"/>
              </w:rPr>
              <w:t>K</w:t>
            </w:r>
          </w:p>
        </w:tc>
        <w:tc>
          <w:tcPr>
            <w:tcW w:type="dxa" w:w="3402"/>
            <w:vAlign w:val="center"/>
            <w:tcMar>
              <w:top w:w="80" w:type="dxa"/>
              <w:left w:w="80" w:type="dxa"/>
              <w:bottom w:w="80" w:type="dxa"/>
              <w:right w:w="80" w:type="dxa"/>
            </w:tcMar>
          </w:tcPr>
          <w:p>
            <w:pPr>
              <w:spacing w:after="0" w:line="240" w:lineRule="auto"/>
            </w:pPr>
            <w:r>
              <w:rPr>
                <w:sz w:val="17"/>
              </w:rPr>
              <w:t>СуммаВВалютеОтчетности</w:t>
            </w:r>
          </w:p>
        </w:tc>
        <w:tc>
          <w:tcPr>
            <w:tcW w:type="dxa" w:w="5216"/>
            <w:vAlign w:val="center"/>
            <w:tcMar>
              <w:top w:w="80" w:type="dxa"/>
              <w:left w:w="80" w:type="dxa"/>
              <w:bottom w:w="80" w:type="dxa"/>
              <w:right w:w="80" w:type="dxa"/>
            </w:tcMar>
          </w:tcPr>
          <w:p>
            <w:pPr>
              <w:spacing w:after="0" w:line="240" w:lineRule="auto"/>
            </w:pPr>
            <w:r>
              <w:rPr>
                <w:sz w:val="17"/>
              </w:rPr>
              <w:t>Число с точностью до копеек; знак соответствует виду операции.</w:t>
            </w:r>
          </w:p>
        </w:tc>
      </w:tr>
      <w:tr>
        <w:tc>
          <w:tcPr>
            <w:tcW w:type="dxa" w:w="907"/>
            <w:vAlign w:val="center"/>
            <w:tcMar>
              <w:top w:w="80" w:type="dxa"/>
              <w:left w:w="80" w:type="dxa"/>
              <w:bottom w:w="80" w:type="dxa"/>
              <w:right w:w="80" w:type="dxa"/>
            </w:tcMar>
          </w:tcPr>
          <w:p>
            <w:pPr>
              <w:spacing w:after="0" w:line="240" w:lineRule="auto"/>
            </w:pPr>
            <w:r>
              <w:rPr>
                <w:sz w:val="17"/>
              </w:rPr>
              <w:t>L</w:t>
            </w:r>
          </w:p>
        </w:tc>
        <w:tc>
          <w:tcPr>
            <w:tcW w:type="dxa" w:w="3402"/>
            <w:vAlign w:val="center"/>
            <w:tcMar>
              <w:top w:w="80" w:type="dxa"/>
              <w:left w:w="80" w:type="dxa"/>
              <w:bottom w:w="80" w:type="dxa"/>
              <w:right w:w="80" w:type="dxa"/>
            </w:tcMar>
          </w:tcPr>
          <w:p>
            <w:pPr>
              <w:spacing w:after="0" w:line="240" w:lineRule="auto"/>
            </w:pPr>
            <w:r>
              <w:rPr>
                <w:sz w:val="17"/>
              </w:rPr>
              <w:t>СуммаВВалютеДт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M</w:t>
            </w:r>
          </w:p>
        </w:tc>
        <w:tc>
          <w:tcPr>
            <w:tcW w:type="dxa" w:w="3402"/>
            <w:vAlign w:val="center"/>
            <w:tcMar>
              <w:top w:w="80" w:type="dxa"/>
              <w:left w:w="80" w:type="dxa"/>
              <w:bottom w:w="80" w:type="dxa"/>
              <w:right w:w="80" w:type="dxa"/>
            </w:tcMar>
          </w:tcPr>
          <w:p>
            <w:pPr>
              <w:spacing w:after="0" w:line="240" w:lineRule="auto"/>
            </w:pPr>
            <w:r>
              <w:rPr>
                <w:sz w:val="17"/>
              </w:rPr>
              <w:t>СуммаВВалютеКт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N</w:t>
            </w:r>
          </w:p>
        </w:tc>
        <w:tc>
          <w:tcPr>
            <w:tcW w:type="dxa" w:w="3402"/>
            <w:vAlign w:val="center"/>
            <w:tcMar>
              <w:top w:w="80" w:type="dxa"/>
              <w:left w:w="80" w:type="dxa"/>
              <w:bottom w:w="80" w:type="dxa"/>
              <w:right w:w="80" w:type="dxa"/>
            </w:tcMar>
          </w:tcPr>
          <w:p>
            <w:pPr>
              <w:spacing w:after="0" w:line="240" w:lineRule="auto"/>
            </w:pPr>
            <w:r>
              <w:rPr>
                <w:sz w:val="17"/>
              </w:rPr>
              <w:t>КоличествоДт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O</w:t>
            </w:r>
          </w:p>
        </w:tc>
        <w:tc>
          <w:tcPr>
            <w:tcW w:type="dxa" w:w="3402"/>
            <w:vAlign w:val="center"/>
            <w:tcMar>
              <w:top w:w="80" w:type="dxa"/>
              <w:left w:w="80" w:type="dxa"/>
              <w:bottom w:w="80" w:type="dxa"/>
              <w:right w:w="80" w:type="dxa"/>
            </w:tcMar>
          </w:tcPr>
          <w:p>
            <w:pPr>
              <w:spacing w:after="0" w:line="240" w:lineRule="auto"/>
            </w:pPr>
            <w:r>
              <w:rPr>
                <w:sz w:val="17"/>
              </w:rPr>
              <w:t>КоличествоКт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P</w:t>
            </w:r>
          </w:p>
        </w:tc>
        <w:tc>
          <w:tcPr>
            <w:tcW w:type="dxa" w:w="3402"/>
            <w:vAlign w:val="center"/>
            <w:tcMar>
              <w:top w:w="80" w:type="dxa"/>
              <w:left w:w="80" w:type="dxa"/>
              <w:bottom w:w="80" w:type="dxa"/>
              <w:right w:w="80" w:type="dxa"/>
            </w:tcMar>
          </w:tcPr>
          <w:p>
            <w:pPr>
              <w:spacing w:after="0" w:line="240" w:lineRule="auto"/>
            </w:pPr>
            <w:r>
              <w:rPr>
                <w:sz w:val="17"/>
              </w:rPr>
              <w:t>Содержание</w:t>
            </w:r>
          </w:p>
        </w:tc>
        <w:tc>
          <w:tcPr>
            <w:tcW w:type="dxa" w:w="5216"/>
            <w:vAlign w:val="center"/>
            <w:tcMar>
              <w:top w:w="80" w:type="dxa"/>
              <w:left w:w="80" w:type="dxa"/>
              <w:bottom w:w="80" w:type="dxa"/>
              <w:right w:w="80" w:type="dxa"/>
            </w:tcMar>
          </w:tcPr>
          <w:p>
            <w:pPr>
              <w:spacing w:after="0" w:line="240" w:lineRule="auto"/>
            </w:pPr>
            <w:r>
              <w:rPr>
                <w:sz w:val="17"/>
              </w:rPr>
              <w:t>Понятное пользователю объяснение: что меняется, почему, исходная и целевая статья, документ/операция и известные аналитики. Технические пути и служебные сведения не выводятся.</w:t>
            </w:r>
          </w:p>
        </w:tc>
      </w:tr>
      <w:tr>
        <w:tc>
          <w:tcPr>
            <w:tcW w:type="dxa" w:w="907"/>
            <w:vAlign w:val="center"/>
            <w:tcMar>
              <w:top w:w="80" w:type="dxa"/>
              <w:left w:w="80" w:type="dxa"/>
              <w:bottom w:w="80" w:type="dxa"/>
              <w:right w:w="80" w:type="dxa"/>
            </w:tcMar>
          </w:tcPr>
          <w:p>
            <w:pPr>
              <w:spacing w:after="0" w:line="240" w:lineRule="auto"/>
            </w:pPr>
            <w:r>
              <w:rPr>
                <w:sz w:val="17"/>
              </w:rPr>
              <w:t>Q</w:t>
            </w:r>
          </w:p>
        </w:tc>
        <w:tc>
          <w:tcPr>
            <w:tcW w:type="dxa" w:w="3402"/>
            <w:vAlign w:val="center"/>
            <w:tcMar>
              <w:top w:w="80" w:type="dxa"/>
              <w:left w:w="80" w:type="dxa"/>
              <w:bottom w:w="80" w:type="dxa"/>
              <w:right w:w="80" w:type="dxa"/>
            </w:tcMar>
          </w:tcPr>
          <w:p>
            <w:pPr>
              <w:spacing w:after="0" w:line="240" w:lineRule="auto"/>
            </w:pPr>
            <w:r>
              <w:rPr>
                <w:sz w:val="17"/>
              </w:rPr>
              <w:t>СчетДтИсточник</w:t>
            </w:r>
          </w:p>
        </w:tc>
        <w:tc>
          <w:tcPr>
            <w:tcW w:type="dxa" w:w="5216"/>
            <w:vAlign w:val="center"/>
            <w:tcMar>
              <w:top w:w="80" w:type="dxa"/>
              <w:left w:w="80" w:type="dxa"/>
              <w:bottom w:w="80" w:type="dxa"/>
              <w:right w:w="80" w:type="dxa"/>
            </w:tcMar>
          </w:tcPr>
          <w:p>
            <w:pPr>
              <w:spacing w:after="0" w:line="240" w:lineRule="auto"/>
            </w:pPr>
            <w:r>
              <w:rPr>
                <w:sz w:val="17"/>
              </w:rPr>
              <w:t>Заполняется по доказанной исходной операции; если не доказано — пусто.</w:t>
            </w:r>
          </w:p>
        </w:tc>
      </w:tr>
      <w:tr>
        <w:tc>
          <w:tcPr>
            <w:tcW w:type="dxa" w:w="907"/>
            <w:vAlign w:val="center"/>
            <w:tcMar>
              <w:top w:w="80" w:type="dxa"/>
              <w:left w:w="80" w:type="dxa"/>
              <w:bottom w:w="80" w:type="dxa"/>
              <w:right w:w="80" w:type="dxa"/>
            </w:tcMar>
          </w:tcPr>
          <w:p>
            <w:pPr>
              <w:spacing w:after="0" w:line="240" w:lineRule="auto"/>
            </w:pPr>
            <w:r>
              <w:rPr>
                <w:sz w:val="17"/>
              </w:rPr>
              <w:t>R</w:t>
            </w:r>
          </w:p>
        </w:tc>
        <w:tc>
          <w:tcPr>
            <w:tcW w:type="dxa" w:w="3402"/>
            <w:vAlign w:val="center"/>
            <w:tcMar>
              <w:top w:w="80" w:type="dxa"/>
              <w:left w:w="80" w:type="dxa"/>
              <w:bottom w:w="80" w:type="dxa"/>
              <w:right w:w="80" w:type="dxa"/>
            </w:tcMar>
          </w:tcPr>
          <w:p>
            <w:pPr>
              <w:spacing w:after="0" w:line="240" w:lineRule="auto"/>
            </w:pPr>
            <w:r>
              <w:rPr>
                <w:sz w:val="17"/>
              </w:rPr>
              <w:t>СчетКтИсточник</w:t>
            </w:r>
          </w:p>
        </w:tc>
        <w:tc>
          <w:tcPr>
            <w:tcW w:type="dxa" w:w="5216"/>
            <w:vAlign w:val="center"/>
            <w:tcMar>
              <w:top w:w="80" w:type="dxa"/>
              <w:left w:w="80" w:type="dxa"/>
              <w:bottom w:w="80" w:type="dxa"/>
              <w:right w:w="80" w:type="dxa"/>
            </w:tcMar>
          </w:tcPr>
          <w:p>
            <w:pPr>
              <w:spacing w:after="0" w:line="240" w:lineRule="auto"/>
            </w:pPr>
            <w:r>
              <w:rPr>
                <w:sz w:val="17"/>
              </w:rPr>
              <w:t>Заполняется по доказанной исходной операции; если не доказано — пусто.</w:t>
            </w:r>
          </w:p>
        </w:tc>
      </w:tr>
      <w:tr>
        <w:tc>
          <w:tcPr>
            <w:tcW w:type="dxa" w:w="907"/>
            <w:vAlign w:val="center"/>
            <w:tcMar>
              <w:top w:w="80" w:type="dxa"/>
              <w:left w:w="80" w:type="dxa"/>
              <w:bottom w:w="80" w:type="dxa"/>
              <w:right w:w="80" w:type="dxa"/>
            </w:tcMar>
          </w:tcPr>
          <w:p>
            <w:pPr>
              <w:spacing w:after="0" w:line="240" w:lineRule="auto"/>
            </w:pPr>
            <w:r>
              <w:rPr>
                <w:sz w:val="17"/>
              </w:rPr>
              <w:t>S</w:t>
            </w:r>
          </w:p>
        </w:tc>
        <w:tc>
          <w:tcPr>
            <w:tcW w:type="dxa" w:w="3402"/>
            <w:vAlign w:val="center"/>
            <w:tcMar>
              <w:top w:w="80" w:type="dxa"/>
              <w:left w:w="80" w:type="dxa"/>
              <w:bottom w:w="80" w:type="dxa"/>
              <w:right w:w="80" w:type="dxa"/>
            </w:tcMar>
          </w:tcPr>
          <w:p>
            <w:pPr>
              <w:spacing w:after="0" w:line="240" w:lineRule="auto"/>
            </w:pPr>
            <w:r>
              <w:rPr>
                <w:sz w:val="17"/>
              </w:rPr>
              <w:t>ИдентификаторФинЗаписи</w:t>
            </w:r>
          </w:p>
        </w:tc>
        <w:tc>
          <w:tcPr>
            <w:tcW w:type="dxa" w:w="5216"/>
            <w:vAlign w:val="center"/>
            <w:tcMar>
              <w:top w:w="80" w:type="dxa"/>
              <w:left w:w="80" w:type="dxa"/>
              <w:bottom w:w="80" w:type="dxa"/>
              <w:right w:w="80" w:type="dxa"/>
            </w:tcMar>
          </w:tcPr>
          <w:p>
            <w:pPr>
              <w:spacing w:after="0" w:line="240" w:lineRule="auto"/>
            </w:pPr>
            <w:r>
              <w:rPr>
                <w:sz w:val="17"/>
              </w:rPr>
              <w:t>Для подтверждённой строки — идентификатор конкретной исходной финансовой записи. Для спорной строки при отсутствии доказательства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T</w:t>
            </w:r>
          </w:p>
        </w:tc>
        <w:tc>
          <w:tcPr>
            <w:tcW w:type="dxa" w:w="3402"/>
            <w:vAlign w:val="center"/>
            <w:tcMar>
              <w:top w:w="80" w:type="dxa"/>
              <w:left w:w="80" w:type="dxa"/>
              <w:bottom w:w="80" w:type="dxa"/>
              <w:right w:w="80" w:type="dxa"/>
            </w:tcMar>
          </w:tcPr>
          <w:p>
            <w:pPr>
              <w:spacing w:after="0" w:line="240" w:lineRule="auto"/>
            </w:pPr>
            <w:r>
              <w:rPr>
                <w:sz w:val="17"/>
              </w:rPr>
              <w:t>ПравилоДт</w:t>
            </w:r>
          </w:p>
        </w:tc>
        <w:tc>
          <w:tcPr>
            <w:tcW w:type="dxa" w:w="5216"/>
            <w:vAlign w:val="center"/>
            <w:tcMar>
              <w:top w:w="80" w:type="dxa"/>
              <w:left w:w="80" w:type="dxa"/>
              <w:bottom w:w="80" w:type="dxa"/>
              <w:right w:w="80" w:type="dxa"/>
            </w:tcMar>
          </w:tcPr>
          <w:p>
            <w:pPr>
              <w:spacing w:after="0" w:line="240" w:lineRule="auto"/>
            </w:pPr>
            <w:r>
              <w:rPr>
                <w:sz w:val="17"/>
              </w:rPr>
              <w:t>Заполняется только при наличии подтверждённого значения; иначе пусто.</w:t>
            </w:r>
          </w:p>
        </w:tc>
      </w:tr>
      <w:tr>
        <w:tc>
          <w:tcPr>
            <w:tcW w:type="dxa" w:w="907"/>
            <w:vAlign w:val="center"/>
            <w:tcMar>
              <w:top w:w="80" w:type="dxa"/>
              <w:left w:w="80" w:type="dxa"/>
              <w:bottom w:w="80" w:type="dxa"/>
              <w:right w:w="80" w:type="dxa"/>
            </w:tcMar>
          </w:tcPr>
          <w:p>
            <w:pPr>
              <w:spacing w:after="0" w:line="240" w:lineRule="auto"/>
            </w:pPr>
            <w:r>
              <w:rPr>
                <w:sz w:val="17"/>
              </w:rPr>
              <w:t>U</w:t>
            </w:r>
          </w:p>
        </w:tc>
        <w:tc>
          <w:tcPr>
            <w:tcW w:type="dxa" w:w="3402"/>
            <w:vAlign w:val="center"/>
            <w:tcMar>
              <w:top w:w="80" w:type="dxa"/>
              <w:left w:w="80" w:type="dxa"/>
              <w:bottom w:w="80" w:type="dxa"/>
              <w:right w:w="80" w:type="dxa"/>
            </w:tcMar>
          </w:tcPr>
          <w:p>
            <w:pPr>
              <w:spacing w:after="0" w:line="240" w:lineRule="auto"/>
            </w:pPr>
            <w:r>
              <w:rPr>
                <w:sz w:val="17"/>
              </w:rPr>
              <w:t>ПравилоКт</w:t>
            </w:r>
          </w:p>
        </w:tc>
        <w:tc>
          <w:tcPr>
            <w:tcW w:type="dxa" w:w="5216"/>
            <w:vAlign w:val="center"/>
            <w:tcMar>
              <w:top w:w="80" w:type="dxa"/>
              <w:left w:w="80" w:type="dxa"/>
              <w:bottom w:w="80" w:type="dxa"/>
              <w:right w:w="80" w:type="dxa"/>
            </w:tcMar>
          </w:tcPr>
          <w:p>
            <w:pPr>
              <w:spacing w:after="0" w:line="240" w:lineRule="auto"/>
            </w:pPr>
            <w:r>
              <w:rPr>
                <w:sz w:val="17"/>
              </w:rPr>
              <w:t>Заполняется только при наличии подтверждённого значения; иначе пусто.</w:t>
            </w:r>
          </w:p>
        </w:tc>
      </w:tr>
      <w:tr>
        <w:tc>
          <w:tcPr>
            <w:tcW w:type="dxa" w:w="907"/>
            <w:vAlign w:val="center"/>
            <w:tcMar>
              <w:top w:w="80" w:type="dxa"/>
              <w:left w:w="80" w:type="dxa"/>
              <w:bottom w:w="80" w:type="dxa"/>
              <w:right w:w="80" w:type="dxa"/>
            </w:tcMar>
          </w:tcPr>
          <w:p>
            <w:pPr>
              <w:spacing w:after="0" w:line="240" w:lineRule="auto"/>
            </w:pPr>
            <w:r>
              <w:rPr>
                <w:sz w:val="17"/>
              </w:rPr>
              <w:t>V</w:t>
            </w:r>
          </w:p>
        </w:tc>
        <w:tc>
          <w:tcPr>
            <w:tcW w:type="dxa" w:w="3402"/>
            <w:vAlign w:val="center"/>
            <w:tcMar>
              <w:top w:w="80" w:type="dxa"/>
              <w:left w:w="80" w:type="dxa"/>
              <w:bottom w:w="80" w:type="dxa"/>
              <w:right w:w="80" w:type="dxa"/>
            </w:tcMar>
          </w:tcPr>
          <w:p>
            <w:pPr>
              <w:spacing w:after="0" w:line="240" w:lineRule="auto"/>
            </w:pPr>
            <w:r>
              <w:rPr>
                <w:sz w:val="17"/>
              </w:rPr>
              <w:t>СубконтоДт1</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W</w:t>
            </w:r>
          </w:p>
        </w:tc>
        <w:tc>
          <w:tcPr>
            <w:tcW w:type="dxa" w:w="3402"/>
            <w:vAlign w:val="center"/>
            <w:tcMar>
              <w:top w:w="80" w:type="dxa"/>
              <w:left w:w="80" w:type="dxa"/>
              <w:bottom w:w="80" w:type="dxa"/>
              <w:right w:w="80" w:type="dxa"/>
            </w:tcMar>
          </w:tcPr>
          <w:p>
            <w:pPr>
              <w:spacing w:after="0" w:line="240" w:lineRule="auto"/>
            </w:pPr>
            <w:r>
              <w:rPr>
                <w:sz w:val="17"/>
              </w:rPr>
              <w:t>СубконтоДт2</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X</w:t>
            </w:r>
          </w:p>
        </w:tc>
        <w:tc>
          <w:tcPr>
            <w:tcW w:type="dxa" w:w="3402"/>
            <w:vAlign w:val="center"/>
            <w:tcMar>
              <w:top w:w="80" w:type="dxa"/>
              <w:left w:w="80" w:type="dxa"/>
              <w:bottom w:w="80" w:type="dxa"/>
              <w:right w:w="80" w:type="dxa"/>
            </w:tcMar>
          </w:tcPr>
          <w:p>
            <w:pPr>
              <w:spacing w:after="0" w:line="240" w:lineRule="auto"/>
            </w:pPr>
            <w:r>
              <w:rPr>
                <w:sz w:val="17"/>
              </w:rPr>
              <w:t>СубконтоДт3</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Y</w:t>
            </w:r>
          </w:p>
        </w:tc>
        <w:tc>
          <w:tcPr>
            <w:tcW w:type="dxa" w:w="3402"/>
            <w:vAlign w:val="center"/>
            <w:tcMar>
              <w:top w:w="80" w:type="dxa"/>
              <w:left w:w="80" w:type="dxa"/>
              <w:bottom w:w="80" w:type="dxa"/>
              <w:right w:w="80" w:type="dxa"/>
            </w:tcMar>
          </w:tcPr>
          <w:p>
            <w:pPr>
              <w:spacing w:after="0" w:line="240" w:lineRule="auto"/>
            </w:pPr>
            <w:r>
              <w:rPr>
                <w:sz w:val="17"/>
              </w:rPr>
              <w:t>СубконтоКт1</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Z</w:t>
            </w:r>
          </w:p>
        </w:tc>
        <w:tc>
          <w:tcPr>
            <w:tcW w:type="dxa" w:w="3402"/>
            <w:vAlign w:val="center"/>
            <w:tcMar>
              <w:top w:w="80" w:type="dxa"/>
              <w:left w:w="80" w:type="dxa"/>
              <w:bottom w:w="80" w:type="dxa"/>
              <w:right w:w="80" w:type="dxa"/>
            </w:tcMar>
          </w:tcPr>
          <w:p>
            <w:pPr>
              <w:spacing w:after="0" w:line="240" w:lineRule="auto"/>
            </w:pPr>
            <w:r>
              <w:rPr>
                <w:sz w:val="17"/>
              </w:rPr>
              <w:t>СубконтоКт2</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AA</w:t>
            </w:r>
          </w:p>
        </w:tc>
        <w:tc>
          <w:tcPr>
            <w:tcW w:type="dxa" w:w="3402"/>
            <w:vAlign w:val="center"/>
            <w:tcMar>
              <w:top w:w="80" w:type="dxa"/>
              <w:left w:w="80" w:type="dxa"/>
              <w:bottom w:w="80" w:type="dxa"/>
              <w:right w:w="80" w:type="dxa"/>
            </w:tcMar>
          </w:tcPr>
          <w:p>
            <w:pPr>
              <w:spacing w:after="0" w:line="240" w:lineRule="auto"/>
            </w:pPr>
            <w:r>
              <w:rPr>
                <w:sz w:val="17"/>
              </w:rPr>
              <w:t>СубконтоКт3</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bl>
    <w:p>
      <w:pPr>
        <w:pStyle w:val="Heading2"/>
        <w:keepNext/>
      </w:pPr>
      <w:r>
        <w:t>12.4. Правила формирования строк корректировок</w:t>
      </w:r>
    </w:p>
    <w:p>
      <w:pPr>
        <w:pStyle w:val="ContractList"/>
      </w:pPr>
      <w:r>
        <w:t>— (1) STORNO повторяет доказанные счета и аналитику исходной операции, но сумма записывается со знаком минус.</w:t>
      </w:r>
    </w:p>
    <w:p>
      <w:pPr>
        <w:pStyle w:val="ContractList"/>
      </w:pPr>
      <w:r>
        <w:t>— (1) REPOST отражает ту же экономическую операцию на правильной статье и записывается положительной суммой.</w:t>
      </w:r>
    </w:p>
    <w:p>
      <w:pPr>
        <w:pStyle w:val="ContractList"/>
      </w:pPr>
      <w:r>
        <w:t>— (1) Для парной корректировки абсолютные суммы STORNO и REPOST должны совпадать. После пары общий итог равен нулю.</w:t>
      </w:r>
    </w:p>
    <w:p>
      <w:pPr>
        <w:pStyle w:val="ContractList"/>
      </w:pPr>
      <w:r>
        <w:t>— (1) При доказанном разбиении одной операции на несколько строк допускаются отношения один-к-нескольким и несколько-к-одному, но каждая исходная сумма используется только один раз.</w:t>
      </w:r>
    </w:p>
    <w:p>
      <w:pPr>
        <w:pStyle w:val="ContractList"/>
      </w:pPr>
      <w:r>
        <w:t>— (1) Неизвестные счета, подразделения, аналитики, идентификаторы или иные реквизиты не подставляются предположительно. В спорном файле такие поля остаются пустыми.</w:t>
      </w:r>
    </w:p>
    <w:p>
      <w:pPr>
        <w:pStyle w:val="ContractList"/>
      </w:pPr>
      <w:r>
        <w:t>— (1) Если экономическое направление доказано, но конкретная физическая операция не доказана однозначно, строка может присутствовать только в спорном файле.</w:t>
      </w:r>
    </w:p>
    <w:p>
      <w:pPr>
        <w:pStyle w:val="ContractList"/>
      </w:pPr>
      <w:r>
        <w:t>— (1) В поле «Содержание» не допускаются технические пути, служебные имена или внутренние параметры. Оно должно быть читаемым и объяснять пользователю действие, причину, исходную и целевую классификацию и источник суммы.</w:t>
      </w:r>
    </w:p>
    <w:p>
      <w:pPr>
        <w:pStyle w:val="ContractList"/>
      </w:pPr>
      <w:r>
        <w:t>— (1) Если финансовая дельта отсутствует и требуется только исправление сопоставления или отображения, корректировочный файл не создаётся.</w:t>
      </w:r>
    </w:p>
    <w:p>
      <w:pPr>
        <w:pStyle w:val="Heading1"/>
        <w:keepNext/>
      </w:pPr>
      <w:r>
        <w:t>13. Безопасность и аудит</w:t>
      </w:r>
    </w:p>
    <w:p>
      <w:pPr>
        <w:pStyle w:val="ContractList"/>
      </w:pPr>
      <w:r>
        <w:rPr>
          <w:rFonts w:ascii="Calibri" w:hAnsi="Calibri" w:eastAsia="Calibri"/>
          <w:b/>
          <w:color w:val="1F4E78"/>
          <w:sz w:val="22"/>
        </w:rPr>
        <w:t xml:space="preserve">— </w:t>
      </w:r>
      <w:r>
        <w:rPr>
          <w:rFonts w:ascii="Calibri" w:hAnsi="Calibri" w:eastAsia="Calibri"/>
          <w:color w:val="1F1F1F"/>
          <w:sz w:val="22"/>
        </w:rPr>
        <w:t>Безопасность неизменна: REPORT_ONLY=true, rules_service=false, posting_rows=0, executed_posting_rows=0, live_posting_rows=0; автоматическая загрузка и проведение в 1С запрещены.</w:t>
      </w:r>
    </w:p>
    <w:p>
      <w:pPr>
        <w:pStyle w:val="ContractList"/>
      </w:pPr>
      <w:r>
        <w:rPr>
          <w:rFonts w:ascii="Calibri" w:hAnsi="Calibri" w:eastAsia="Calibri"/>
          <w:b/>
          <w:color w:val="1F4E78"/>
          <w:sz w:val="22"/>
        </w:rPr>
        <w:t xml:space="preserve">— </w:t>
      </w:r>
      <w:r>
        <w:rPr>
          <w:rFonts w:ascii="Calibri" w:hAnsi="Calibri" w:eastAsia="Calibri"/>
          <w:color w:val="1F1F1F"/>
          <w:sz w:val="22"/>
        </w:rPr>
        <w:t>Любая финансовая строка содержит источник Инталев, источник ERP и стабильный идентификатор.</w:t>
      </w:r>
    </w:p>
    <w:p>
      <w:pPr>
        <w:pStyle w:val="ContractList"/>
      </w:pPr>
      <w:r>
        <w:rPr>
          <w:rFonts w:ascii="Calibri" w:hAnsi="Calibri" w:eastAsia="Calibri"/>
          <w:b/>
          <w:color w:val="1F4E78"/>
          <w:sz w:val="22"/>
        </w:rPr>
        <w:t xml:space="preserve">— </w:t>
      </w:r>
      <w:r>
        <w:rPr>
          <w:rFonts w:ascii="Calibri" w:hAnsi="Calibri" w:eastAsia="Calibri"/>
          <w:color w:val="1F1F1F"/>
          <w:sz w:val="22"/>
        </w:rPr>
        <w:t>Одна физическая строка не может участвовать в двух корректировках.</w:t>
      </w:r>
    </w:p>
    <w:p>
      <w:pPr>
        <w:pStyle w:val="ContractList"/>
      </w:pPr>
      <w:r>
        <w:rPr>
          <w:rFonts w:ascii="Calibri" w:hAnsi="Calibri" w:eastAsia="Calibri"/>
          <w:b/>
          <w:color w:val="1F4E78"/>
          <w:sz w:val="22"/>
        </w:rPr>
        <w:t xml:space="preserve">— </w:t>
      </w:r>
      <w:r>
        <w:rPr>
          <w:rFonts w:ascii="Calibri" w:hAnsi="Calibri" w:eastAsia="Calibri"/>
          <w:color w:val="1F1F1F"/>
          <w:sz w:val="22"/>
        </w:rPr>
        <w:t>Сумма СТОРНО и РЕПОСТ внутри пары совпадает в точных копейках.</w:t>
      </w:r>
    </w:p>
    <w:p>
      <w:pPr>
        <w:pStyle w:val="ContractList"/>
      </w:pPr>
      <w:r>
        <w:rPr>
          <w:rFonts w:ascii="Calibri" w:hAnsi="Calibri" w:eastAsia="Calibri"/>
          <w:b/>
          <w:color w:val="1F4E78"/>
          <w:sz w:val="22"/>
        </w:rPr>
        <w:t xml:space="preserve">— </w:t>
      </w:r>
      <w:r>
        <w:rPr>
          <w:rFonts w:ascii="Calibri" w:hAnsi="Calibri" w:eastAsia="Calibri"/>
          <w:color w:val="1F1F1F"/>
          <w:sz w:val="22"/>
        </w:rPr>
        <w:t>Общий экономический итог после переклассификации не меняется.</w:t>
      </w:r>
    </w:p>
    <w:p>
      <w:pPr>
        <w:pStyle w:val="ContractList"/>
      </w:pPr>
      <w:r>
        <w:rPr>
          <w:rFonts w:ascii="Calibri" w:hAnsi="Calibri" w:eastAsia="Calibri"/>
          <w:b/>
          <w:color w:val="1F4E78"/>
          <w:sz w:val="22"/>
        </w:rPr>
        <w:t xml:space="preserve">— </w:t>
      </w:r>
      <w:r>
        <w:rPr>
          <w:rFonts w:ascii="Calibri" w:hAnsi="Calibri" w:eastAsia="Calibri"/>
          <w:color w:val="1F1F1F"/>
          <w:sz w:val="22"/>
        </w:rPr>
        <w:t>Неоднозначность не маскируется: она остаётся в отчёте с понятной причиной.</w:t>
      </w:r>
    </w:p>
    <w:p>
      <w:pPr>
        <w:pStyle w:val="ContractList"/>
      </w:pPr>
      <w:r>
        <w:rPr>
          <w:rFonts w:ascii="Calibri" w:hAnsi="Calibri" w:eastAsia="Calibri"/>
          <w:b/>
          <w:color w:val="1F4E78"/>
          <w:sz w:val="22"/>
        </w:rPr>
        <w:t xml:space="preserve">— </w:t>
      </w:r>
      <w:r>
        <w:rPr>
          <w:rFonts w:ascii="Calibri" w:hAnsi="Calibri" w:eastAsia="Calibri"/>
          <w:color w:val="1F1F1F"/>
          <w:sz w:val="22"/>
        </w:rPr>
        <w:t>Исходные файлы не изменяются; рабочие нормализованные копии располагаются отдельно.</w:t>
      </w:r>
    </w:p>
    <w:p>
      <w:pPr>
        <w:pStyle w:val="ContractList"/>
      </w:pPr>
      <w:r>
        <w:rPr>
          <w:rFonts w:ascii="Calibri" w:hAnsi="Calibri" w:eastAsia="Calibri"/>
          <w:b/>
          <w:color w:val="1F4E78"/>
          <w:sz w:val="22"/>
        </w:rPr>
        <w:t xml:space="preserve">— </w:t>
      </w:r>
      <w:r>
        <w:rPr>
          <w:rFonts w:ascii="Calibri" w:hAnsi="Calibri" w:eastAsia="Calibri"/>
          <w:color w:val="1F1F1F"/>
          <w:sz w:val="22"/>
        </w:rPr>
        <w:t>Каждый релиз имеет манифест, SHA-256 и протокол тестирования.</w:t>
      </w:r>
    </w:p>
    <w:p>
      <w:pPr>
        <w:pStyle w:val="Heading1"/>
        <w:keepNext/>
      </w:pPr>
      <w:r>
        <w:t>14. Критерии приёмки</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800"/>
        <w:gridCol w:w="3900"/>
        <w:gridCol w:w="4660"/>
      </w:tblGrid>
      <w:tr>
        <w:trPr>
          <w:tblHeader w:val="true"/>
          <w:cantSplit/>
        </w:trPr>
        <w:tc>
          <w:tcPr>
            <w:tcW w:type="dxa" w:w="8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ID</w:t>
            </w:r>
          </w:p>
        </w:tc>
        <w:tc>
          <w:tcPr>
            <w:tcW w:type="dxa" w:w="39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Проверка</w:t>
            </w:r>
          </w:p>
        </w:tc>
        <w:tc>
          <w:tcPr>
            <w:tcW w:type="dxa" w:w="46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Условие PASS</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A01</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Все фактические блоки расходов Инталев присутствуют в 01_Сверка_дерево</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Ни один коммерческий/транспортный/складской блок не исчез</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A02</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Структуры Инталев и ERP независимы</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Слева фактический путь Инталев, справа исходная структура ERP</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A03</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Дельта считается как Инталев − ERP</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Проверка в точных копейках на статье, группе и итоге</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A04</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Любая итоговая дельта раскрывается внутри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Нет необъяснённого исчезновения суммы</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A05</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Серые ERP-строки являются статьями, не операциями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Операции вынесены на журнальные листы</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A06</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Журнал ERP найден и привязан к организации/месяцу</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Статус READY либо честный блокирующий статус; все строки относятся к выбранному YYYY-MM</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A07</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Физические строки не используются повторно</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Повторы Инталев = 0; повторы ERP = 0</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A08</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Неверная одноимённая статья другой группы даёт СТОРНО/РЕПОСТ</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Источник — фактическая ERP-строка; цель — статья внутри блока Инталев</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A09</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Реестр заранее заполнен движком</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Пользователь видит только остаток НУЖНА ПРОВЕРКА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A10</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Неподтверждённая догадка не становится проводкой</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Проводка требует физического доказательства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A11</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Поле Содержание понятно пользователю</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Есть действие, причина и оба источника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A12</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Формулы Excel не содержат ошибок</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0 значений #REF!, #DIV/0!, #VALUE!, #NAME?, #N/A</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A13</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Интерфейс завершает работу</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Индикатор останавливается; файл и папка открываются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A14</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Пакет переносим и имеет короткие пути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EXE запускается после распаковки; длинные имена исключены</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A15</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Повторный прогон с тестовым журналом корректировок</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Для утверждённых случаев дельты уходят; остаток объяснён или СПОРНО</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A16</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Безопасный быстрый повторный запуск</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Старый экземпляр OPIU и его дерево завершены; точный порт подтверждённо свободен; запущен ровно один новый экземпляр; посторонние процессы не затронуты; после закрытия или формирования результата порт снова свободен</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A17</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01_Правила и начальное заполнение</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Лист находится в XLSX текущей сверки; все обязательные колонки присутствуют; единственная валидная цель получает ПРЕДЛОЖЕНО ДВИЖКОМ, остальные — НУЖНА ПРОВЕРКА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A18</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Пять решений и обязательные поля ИЗМЕНИТЬ</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Принимаются ровно пять решений; шестое отклоняется; ИЗМЕНИТЬ без блока, статьи, кода или комментария не фиксируется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A19</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Проверки и транзакционность фиксации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Конфликт целей, неизвестный код, чужой блок, пустая организация или неверный ПериодС дают построчную ошибку и не создают частичный approved-файл</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A20</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Версионированный approved JSON</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После v001 создаётся v002; v001 неизменен; схема, DOMAIN\username, область, решения, источники и SHA-256 заполнены; запись атомарна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A21</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Обратная загрузка, область и приоритет</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Последняя валидная версия применяется только к точной организации, блоку, статье и месяцу; ЗАПРЕТИТЬ блокирует связь; неверный SHA отклоняется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A22</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Утверждение не подменяет физическое доказательство</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Без уникальной строки ERP: 0 готовых STORNO/REPOST и только СПОРНО; с доказанной строкой пара равна по абсолютной сумме</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A23</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Отдельное окно утверждений</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Очередь НУЖНА ПРОВЕРКА, пять действий, построчные ошибки и имя созданной approved-версии видимы пользователю</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A24</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Безопасное массовое утверждение</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Утвердить все однозначные меняет только строки с единственной валидной ERP-целью; конфликты и неоднозначные строки остаются НУЖНА ПРОВЕРКА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A25</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Валидный месячный запуск</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Одна организация + один полный календарный месяц YYYY-MM успешно формируют независимый комплект</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A26</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Год YYYY отклоняется</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YYYY не принимается как scope расчёта; запуск не создаётся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A27</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Квартал YYYY-QN отклоняется</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YYYY-QN не принимается как scope расчёта; запуск не создаётся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A28</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Произвольный диапазон отклоняется</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Диапазон дат или нескольких месяцев не принимается как scope расчёта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A29</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Годовой архив используется только как контейнер</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Выбранный месяц детерминированно доказан из источника; evidence и результаты ограничены этим месяцем</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A30</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Изоляция последовательных месячных запусков</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Организация, период, R005 evidence, SourceRowID/provenance, handoff, R001 и approval scope не смешиваются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A31</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Нет межмесячного зачёта и повторного evidence</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Расхождения не неттируются между месяцами; ни одна физическая ERP-строка не переиспользуется некорректно</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A32</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Неизменная безопасность</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REPORT_ONLY=true; rules_service=false; posting_rows=0; executed_posting_rows=0; live_posting_rows=0; нет автоматической загрузки или проведения в 1С</w:t>
            </w:r>
          </w:p>
        </w:tc>
      </w:tr>
    </w:tbl>
    <w:p>
      <w:pPr>
        <w:pStyle w:val="Heading2"/>
        <w:keepNext/>
      </w:pPr>
      <w:r>
        <w:t>14.1. Обязательные контрольные наборы</w:t>
      </w:r>
    </w:p>
    <w:p>
      <w:pPr>
        <w:pStyle w:val="ContractList"/>
      </w:pPr>
      <w:r>
        <w:rPr>
          <w:rFonts w:ascii="Calibri" w:hAnsi="Calibri" w:eastAsia="Calibri"/>
          <w:b/>
          <w:color w:val="1F4E78"/>
          <w:sz w:val="22"/>
        </w:rPr>
        <w:t xml:space="preserve">— </w:t>
      </w:r>
      <w:r>
        <w:rPr>
          <w:rFonts w:ascii="Calibri" w:hAnsi="Calibri" w:eastAsia="Calibri"/>
          <w:color w:val="1F1F1F"/>
          <w:sz w:val="22"/>
        </w:rPr>
        <w:t>9 Управляющая компания, октябрь 2025: подтверждённый r13 как регрессионный эталон.</w:t>
      </w:r>
    </w:p>
    <w:p>
      <w:pPr>
        <w:pStyle w:val="ContractList"/>
      </w:pPr>
      <w:r>
        <w:rPr>
          <w:rFonts w:ascii="Calibri" w:hAnsi="Calibri" w:eastAsia="Calibri"/>
          <w:b/>
          <w:color w:val="1F4E78"/>
          <w:sz w:val="22"/>
        </w:rPr>
        <w:t xml:space="preserve">— </w:t>
      </w:r>
      <w:r>
        <w:rPr>
          <w:rFonts w:ascii="Calibri" w:hAnsi="Calibri" w:eastAsia="Calibri"/>
          <w:color w:val="1F1F1F"/>
          <w:sz w:val="22"/>
        </w:rPr>
        <w:t>9 Управляющая компания, ноябрь 2025: проверка изменённой структуры и нулевых групп.</w:t>
      </w:r>
    </w:p>
    <w:p>
      <w:pPr>
        <w:pStyle w:val="ContractList"/>
      </w:pPr>
      <w:r>
        <w:rPr>
          <w:rFonts w:ascii="Calibri" w:hAnsi="Calibri" w:eastAsia="Calibri"/>
          <w:b/>
          <w:color w:val="1F4E78"/>
          <w:sz w:val="22"/>
        </w:rPr>
        <w:t xml:space="preserve">— </w:t>
      </w:r>
      <w:r>
        <w:rPr>
          <w:rFonts w:ascii="Calibri" w:hAnsi="Calibri" w:eastAsia="Calibri"/>
          <w:color w:val="1F1F1F"/>
          <w:sz w:val="22"/>
        </w:rPr>
        <w:t>3 Сахалин, январь 2025: коммерческие, транспортные, складские расходы и журнальный поиск.</w:t>
      </w:r>
    </w:p>
    <w:p>
      <w:pPr>
        <w:pStyle w:val="ContractList"/>
      </w:pPr>
      <w:r>
        <w:rPr>
          <w:rFonts w:ascii="Calibri" w:hAnsi="Calibri" w:eastAsia="Calibri"/>
          <w:b/>
          <w:color w:val="1F4E78"/>
          <w:sz w:val="22"/>
        </w:rPr>
        <w:t xml:space="preserve">— </w:t>
      </w:r>
      <w:r>
        <w:rPr>
          <w:rFonts w:ascii="Calibri" w:hAnsi="Calibri" w:eastAsia="Calibri"/>
          <w:color w:val="1F1F1F"/>
          <w:sz w:val="22"/>
        </w:rPr>
        <w:t>Годовой файл или ZIP как контейнер: выбранный конкретный месяц доказуемо извлекается и обрабатывается независимо.</w:t>
      </w:r>
    </w:p>
    <w:p>
      <w:pPr>
        <w:pStyle w:val="ContractList"/>
      </w:pPr>
      <w:r>
        <w:rPr>
          <w:rFonts w:ascii="Calibri" w:hAnsi="Calibri" w:eastAsia="Calibri"/>
          <w:b/>
          <w:color w:val="1F4E78"/>
          <w:sz w:val="22"/>
        </w:rPr>
        <w:t xml:space="preserve">— </w:t>
      </w:r>
      <w:r>
        <w:rPr>
          <w:rFonts w:ascii="Calibri" w:hAnsi="Calibri" w:eastAsia="Calibri"/>
          <w:color w:val="1F1F1F"/>
          <w:sz w:val="22"/>
        </w:rPr>
        <w:t>Последовательные месячные запуски: организация, период, доказательства, provenance, handoff, результат R001 и утверждения не смешиваются.</w:t>
      </w:r>
    </w:p>
    <w:p>
      <w:pPr>
        <w:pStyle w:val="Heading1"/>
        <w:keepNext/>
      </w:pPr>
      <w:r>
        <w:t>15. Решения, которые предлагается утвердить отдельно</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800"/>
        <w:gridCol w:w="3500"/>
        <w:gridCol w:w="5060"/>
      </w:tblGrid>
      <w:tr>
        <w:trPr>
          <w:tblHeader w:val="true"/>
          <w:cantSplit/>
        </w:trPr>
        <w:tc>
          <w:tcPr>
            <w:tcW w:type="dxa" w:w="8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ID</w:t>
            </w:r>
          </w:p>
        </w:tc>
        <w:tc>
          <w:tcPr>
            <w:tcW w:type="dxa" w:w="35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Вопрос</w:t>
            </w:r>
          </w:p>
        </w:tc>
        <w:tc>
          <w:tcPr>
            <w:tcW w:type="dxa" w:w="50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Предлагаемое решение</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D01</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Область утверждённого правила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Организация + блок + статья + дата начала действия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D02</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Высокая уверенность движка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Предзаполнять и использовать для поиска, но не считать утверждением</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D03</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Утверждение без физической строки</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Разрешает соответствие, но не автоматическую финансовую проводку</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D04</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Односторонняя строка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Создавать только в папке СПОРНО с явной причиной</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D05</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Нулевая группа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Исключать из межгруппового пересорта только после контроля 0,00</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D06</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Дубликаты документов Операция МСФО</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Не удалять автоматически; показывать отдельным кандидатом с источниками</w:t>
            </w:r>
          </w:p>
        </w:tc>
      </w:tr>
    </w:tbl>
    <w:p>
      <w:pPr>
        <w:pStyle w:val="Heading1"/>
        <w:keepNext/>
      </w:pPr>
      <w:r>
        <w:t>16. Порядок изменений после утверждения</w:t>
      </w:r>
    </w:p>
    <w:p>
      <w:pPr>
        <w:pStyle w:val="ContractList"/>
      </w:pPr>
      <w:r>
        <w:rPr>
          <w:rFonts w:ascii="Calibri" w:hAnsi="Calibri" w:eastAsia="Calibri"/>
          <w:b/>
          <w:color w:val="1F4E78"/>
          <w:sz w:val="22"/>
        </w:rPr>
        <w:t xml:space="preserve">— </w:t>
      </w:r>
      <w:r>
        <w:rPr>
          <w:rFonts w:ascii="Calibri" w:hAnsi="Calibri" w:eastAsia="Calibri"/>
          <w:color w:val="1F1F1F"/>
          <w:sz w:val="22"/>
        </w:rPr>
        <w:t>Любое изменение логики сначала вносится в новую версию этого контракта.</w:t>
      </w:r>
    </w:p>
    <w:p>
      <w:pPr>
        <w:pStyle w:val="ContractList"/>
      </w:pPr>
      <w:r>
        <w:rPr>
          <w:rFonts w:ascii="Calibri" w:hAnsi="Calibri" w:eastAsia="Calibri"/>
          <w:b/>
          <w:color w:val="1F4E78"/>
          <w:sz w:val="22"/>
        </w:rPr>
        <w:t xml:space="preserve">— </w:t>
      </w:r>
      <w:r>
        <w:rPr>
          <w:rFonts w:ascii="Calibri" w:hAnsi="Calibri" w:eastAsia="Calibri"/>
          <w:color w:val="1F1F1F"/>
          <w:sz w:val="22"/>
        </w:rPr>
        <w:t>Код изменяется только после фиксации затрагиваемых требований и тестов.</w:t>
      </w:r>
    </w:p>
    <w:p>
      <w:pPr>
        <w:pStyle w:val="ContractList"/>
      </w:pPr>
      <w:r>
        <w:rPr>
          <w:rFonts w:ascii="Calibri" w:hAnsi="Calibri" w:eastAsia="Calibri"/>
          <w:b/>
          <w:color w:val="1F4E78"/>
          <w:sz w:val="22"/>
        </w:rPr>
        <w:t xml:space="preserve">— </w:t>
      </w:r>
      <w:r>
        <w:rPr>
          <w:rFonts w:ascii="Calibri" w:hAnsi="Calibri" w:eastAsia="Calibri"/>
          <w:color w:val="1F1F1F"/>
          <w:sz w:val="22"/>
        </w:rPr>
        <w:t>Новый релиз не может терять функции, прошедшие предыдущую приёмку.</w:t>
      </w:r>
    </w:p>
    <w:p>
      <w:pPr>
        <w:pStyle w:val="ContractList"/>
      </w:pPr>
      <w:r>
        <w:rPr>
          <w:rFonts w:ascii="Calibri" w:hAnsi="Calibri" w:eastAsia="Calibri"/>
          <w:b/>
          <w:color w:val="1F4E78"/>
          <w:sz w:val="22"/>
        </w:rPr>
        <w:t xml:space="preserve">— </w:t>
      </w:r>
      <w:r>
        <w:rPr>
          <w:rFonts w:ascii="Calibri" w:hAnsi="Calibri" w:eastAsia="Calibri"/>
          <w:color w:val="1F1F1F"/>
          <w:sz w:val="22"/>
        </w:rPr>
        <w:t>Перед выпуском выполняются автоматические тесты, прогон контрольных наборов и визуальная проверка XLSX.</w:t>
      </w:r>
    </w:p>
    <w:p>
      <w:pPr>
        <w:pStyle w:val="ContractList"/>
      </w:pPr>
      <w:r>
        <w:rPr>
          <w:rFonts w:ascii="Calibri" w:hAnsi="Calibri" w:eastAsia="Calibri"/>
          <w:b/>
          <w:color w:val="1F4E78"/>
          <w:sz w:val="22"/>
        </w:rPr>
        <w:t xml:space="preserve">— </w:t>
      </w:r>
      <w:r>
        <w:rPr>
          <w:rFonts w:ascii="Calibri" w:hAnsi="Calibri" w:eastAsia="Calibri"/>
          <w:color w:val="1F1F1F"/>
          <w:sz w:val="22"/>
        </w:rPr>
        <w:t>Релиз сопровождается перечнем изменений, SHA-256 и сравнением с предыдущим релизом.</w:t>
      </w:r>
    </w:p>
    <w:p>
      <w:pPr>
        <w:pStyle w:val="Heading1"/>
        <w:keepNext/>
      </w:pPr>
      <w:r>
        <w:t>17. Лист утверждения</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vAlign w:val="top"/>
            <w:shd w:fill="FFF2CC"/>
          </w:tcPr>
          <w:p>
            <w:pPr>
              <w:spacing w:after="0"/>
            </w:pPr>
            <w:r>
              <w:rPr>
                <w:rFonts w:ascii="Calibri" w:hAnsi="Calibri" w:eastAsia="Calibri"/>
                <w:b/>
                <w:color w:val="7A5A00"/>
                <w:sz w:val="22"/>
              </w:rPr>
              <w:t xml:space="preserve">Предлагаемый статус. </w:t>
            </w:r>
            <w:r>
              <w:rPr>
                <w:rFonts w:ascii="Calibri" w:hAnsi="Calibri" w:eastAsia="Calibri"/>
                <w:color w:val="1F1F1F"/>
                <w:sz w:val="22"/>
              </w:rPr>
              <w:t>До ответа пользователя все пункты имеют статус ЧЕРНОВИК. Доработка движка продолжается только по утверждённой версии или по явно указанным замечаниям.</w:t>
            </w:r>
          </w:p>
        </w:tc>
      </w:tr>
    </w:tbl>
    <w:p>
      <w:pPr>
        <w:spacing w:after="0"/>
      </w:pP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400"/>
        <w:gridCol w:w="6960"/>
      </w:tblGrid>
      <w:tr>
        <w:trPr>
          <w:tblHeader w:val="true"/>
          <w:cantSplit/>
        </w:trPr>
        <w:tc>
          <w:tcPr>
            <w:tcW w:type="dxa" w:w="24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Поле</w:t>
            </w:r>
          </w:p>
        </w:tc>
        <w:tc>
          <w:tcPr>
            <w:tcW w:type="dxa" w:w="69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Заполняет пользователь</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Решение</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Утверждаю / Утверждаю с замечаниями / Не утверждаю</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Замечания</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r>
            <w:r>
              <w:br/>
              <w:br/>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Утвердил(а)</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r>
            <w:r>
              <w:br/>
              <w:br/>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Дата</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r>
            <w:r>
              <w:br/>
              <w:br/>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Версия контракта</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0.5</w:t>
            </w:r>
            <w:r/>
          </w:p>
        </w:tc>
      </w:tr>
    </w:tbl>
    <w:p>
      <w:pPr>
        <w:pStyle w:val="Heading1"/>
        <w:keepNext/>
      </w:pPr>
      <w:r>
        <w:t>Приложение A. Основные исходные материалы</w:t>
      </w:r>
    </w:p>
    <w:p>
      <w:pPr>
        <w:pStyle w:val="ContractList"/>
      </w:pPr>
      <w:r>
        <w:rPr>
          <w:rFonts w:ascii="Calibri" w:hAnsi="Calibri" w:eastAsia="Calibri"/>
          <w:b/>
          <w:color w:val="1F4E78"/>
          <w:sz w:val="22"/>
        </w:rPr>
        <w:t xml:space="preserve">— </w:t>
      </w:r>
      <w:r>
        <w:rPr>
          <w:rFonts w:ascii="Calibri" w:hAnsi="Calibri" w:eastAsia="Calibri"/>
          <w:color w:val="1F1F1F"/>
          <w:sz w:val="22"/>
        </w:rPr>
        <w:t>подтверждённая сверка 03_Октябрь_2025_ИТОГ_ФЗП_r13.xlsx;</w:t>
      </w:r>
    </w:p>
    <w:p>
      <w:pPr>
        <w:pStyle w:val="ContractList"/>
      </w:pPr>
      <w:r>
        <w:rPr>
          <w:rFonts w:ascii="Calibri" w:hAnsi="Calibri" w:eastAsia="Calibri"/>
          <w:b/>
          <w:color w:val="1F4E78"/>
          <w:sz w:val="22"/>
        </w:rPr>
        <w:t xml:space="preserve">— </w:t>
      </w:r>
      <w:r>
        <w:rPr>
          <w:rFonts w:ascii="Calibri" w:hAnsi="Calibri" w:eastAsia="Calibri"/>
          <w:color w:val="1F1F1F"/>
          <w:sz w:val="22"/>
        </w:rPr>
        <w:t>эталонная сверка 03_Октябрь_2025_ИТОГ_ИСПРАВЛЕННЫЙ_r12.xlsx;</w:t>
      </w:r>
    </w:p>
    <w:p>
      <w:pPr>
        <w:pStyle w:val="ContractList"/>
      </w:pPr>
      <w:r>
        <w:rPr>
          <w:rFonts w:ascii="Calibri" w:hAnsi="Calibri" w:eastAsia="Calibri"/>
          <w:b/>
          <w:color w:val="1F4E78"/>
          <w:sz w:val="22"/>
        </w:rPr>
        <w:t xml:space="preserve">— </w:t>
      </w:r>
      <w:r>
        <w:rPr>
          <w:rFonts w:ascii="Calibri" w:hAnsi="Calibri" w:eastAsia="Calibri"/>
          <w:color w:val="1F1F1F"/>
          <w:sz w:val="22"/>
        </w:rPr>
        <w:t>архив и отчёты Сахалина за январь 2025;</w:t>
      </w:r>
    </w:p>
    <w:p>
      <w:pPr>
        <w:pStyle w:val="ContractList"/>
      </w:pPr>
      <w:r>
        <w:rPr>
          <w:rFonts w:ascii="Calibri" w:hAnsi="Calibri" w:eastAsia="Calibri"/>
          <w:b/>
          <w:color w:val="1F4E78"/>
          <w:sz w:val="22"/>
        </w:rPr>
        <w:t xml:space="preserve">— </w:t>
      </w:r>
      <w:r>
        <w:rPr>
          <w:rFonts w:ascii="Calibri" w:hAnsi="Calibri" w:eastAsia="Calibri"/>
          <w:color w:val="1F1F1F"/>
          <w:sz w:val="22"/>
        </w:rPr>
        <w:t>справочники ОПИУ АНАЛИТИКИ, ОПИУ ФОРМУЛЫ, ПоказателиОтчетов_ОПИУ_ЕРП и StatD_R;</w:t>
      </w:r>
    </w:p>
    <w:p>
      <w:pPr>
        <w:pStyle w:val="ContractList"/>
      </w:pPr>
      <w:r>
        <w:rPr>
          <w:rFonts w:ascii="Calibri" w:hAnsi="Calibri" w:eastAsia="Calibri"/>
          <w:b/>
          <w:color w:val="1F4E78"/>
          <w:sz w:val="22"/>
        </w:rPr>
        <w:t xml:space="preserve">— </w:t>
      </w:r>
      <w:r>
        <w:rPr>
          <w:rFonts w:ascii="Calibri" w:hAnsi="Calibri" w:eastAsia="Calibri"/>
          <w:color w:val="1F1F1F"/>
          <w:sz w:val="22"/>
        </w:rPr>
        <w:t>ОрганизациииерархияЕРП.xlsx;</w:t>
      </w:r>
    </w:p>
    <w:p>
      <w:pPr>
        <w:pStyle w:val="ContractList"/>
      </w:pPr>
      <w:r>
        <w:rPr>
          <w:rFonts w:ascii="Calibri" w:hAnsi="Calibri" w:eastAsia="Calibri"/>
          <w:b/>
          <w:color w:val="1F4E78"/>
          <w:sz w:val="22"/>
        </w:rPr>
        <w:t xml:space="preserve">— </w:t>
      </w:r>
      <w:r>
        <w:rPr>
          <w:rFonts w:ascii="Calibri" w:hAnsi="Calibri" w:eastAsia="Calibri"/>
          <w:color w:val="1F1F1F"/>
          <w:sz w:val="22"/>
        </w:rPr>
        <w:t>реестр соответствий статей Инталев/ERP и журнальные доказательства;</w:t>
      </w:r>
    </w:p>
    <w:p>
      <w:pPr>
        <w:pStyle w:val="ContractList"/>
      </w:pPr>
      <w:r>
        <w:rPr>
          <w:rFonts w:ascii="Calibri" w:hAnsi="Calibri" w:eastAsia="Calibri"/>
          <w:b/>
          <w:color w:val="1F4E78"/>
          <w:sz w:val="22"/>
        </w:rPr>
        <w:t xml:space="preserve">— </w:t>
      </w:r>
      <w:r>
        <w:rPr>
          <w:rFonts w:ascii="Calibri" w:hAnsi="Calibri" w:eastAsia="Calibri"/>
          <w:color w:val="1F1F1F"/>
          <w:sz w:val="22"/>
        </w:rPr>
        <w:t>все требования и примеры, сформулированные пользователем в рабочем диалоге.</w:t>
      </w:r>
    </w:p>
    <w:p>
      <w:pPr>
        <w:pStyle w:val="Heading1"/>
      </w:pPr>
      <w:r>
        <w:t>Приложение B. Обязательное применение контракта и регистрация ошибок</w:t>
      </w:r>
    </w:p>
    <w:p>
      <w:pPr>
        <w:pStyle w:val="ContractList"/>
      </w:pPr>
      <w:r>
        <w:t>— Перед любым изменением кода, сборкой, переносом файлов или тестовым прогоном координатор обязан прочитать текущую версию контракта и указать затрагиваемые требования.</w:t>
      </w:r>
    </w:p>
    <w:p>
      <w:pPr>
        <w:pStyle w:val="ContractList"/>
      </w:pPr>
      <w:r>
        <w:t>— Каждая задача, передаваемая Codex, Spark или агенту, должна содержать путь к текущему контракту, его версию и SHA-256, применимые пункты и проверяемые условия PASS.</w:t>
      </w:r>
    </w:p>
    <w:p>
      <w:pPr>
        <w:pStyle w:val="ContractList"/>
      </w:pPr>
      <w:r>
        <w:t>— Версии контракта неизменяемы. Новое требование или исправление выпускается новой версией; файл CURRENT.md указывает единственную действующую рабочую редакцию.</w:t>
      </w:r>
    </w:p>
    <w:p>
      <w:pPr>
        <w:pStyle w:val="ContractList"/>
      </w:pPr>
      <w:r>
        <w:t>— Каждая ошибка, о которой сообщает пользователь, регистрируется отдельной записью: наблюдаемое поведение, ожидаемое поведение, доказательство, затронутые пункты контракта и обязательный регрессионный тест.</w:t>
      </w:r>
    </w:p>
    <w:p>
      <w:pPr>
        <w:pStyle w:val="ContractList"/>
      </w:pPr>
      <w:r>
        <w:t>— До изменения кода ошибка должна быть отражена в реестре и, если она меняет или уточняет требование, в новой версии контракта. Устное исключение не заменяет зафиксированное требование.</w:t>
      </w:r>
    </w:p>
    <w:p>
      <w:pPr>
        <w:pStyle w:val="ContractList"/>
      </w:pPr>
      <w:r>
        <w:t>— Новая реализация не может отменять ранее принятые функции. При объединении веток и пакетов проверяются все предыдущие условия приёмки, а не только текущая ошибка.</w:t>
      </w:r>
    </w:p>
    <w:p>
      <w:pPr>
        <w:pStyle w:val="ContractList"/>
      </w:pPr>
      <w:r>
        <w:t>— Результат задачи не принимается без доказательства выполнения относящихся к ней пунктов контракта и без сохранённого протокола проверки.</w:t>
      </w:r>
    </w:p>
    <w:p>
      <w:pPr/>
      <w:r>
        <w:rPr>
          <w:rFonts w:ascii="Calibri" w:hAnsi="Calibri" w:eastAsia="Calibri"/>
          <w:i/>
          <w:color w:val="666666"/>
          <w:sz w:val="22"/>
        </w:rPr>
        <w:t>Конец документа.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6666"/>
        <w:sz w:val="18"/>
      </w:rPr>
      <w:t xml:space="preserve">Страница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666666"/>
        <w:sz w:val="18"/>
      </w:rPr>
      <w:t>Функциональный контракт ОПИУ</w:t>
      <w:tab/>
      <w:t>Рабочая редакция v0.5</w:t>
    </w:r>
    <w:r/>
    <w:r>
      <w:rPr>
        <w:rFonts w:ascii="Calibri" w:hAnsi="Calibri" w:eastAsia="Calibri"/>
        <w:color w:val="666666"/>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0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9101">
    <w:abstractNumId w:val="9001"/>
  </w:num>
  <w:abstractNum w:abstractNumId="9002">
    <w:multiLevelType w:val="singleLevel"/>
    <w:lvl w:ilvl="0">
      <w:start w:val="1"/>
      <w:numFmt w:val="decimal"/>
      <w:lvlText w:val="%1."/>
      <w:lvlJc w:val="left"/>
      <w:pPr>
        <w:tabs>
          <w:tab w:val="num" w:pos="540"/>
        </w:tabs>
        <w:ind w:left="540" w:hanging="270"/>
        <w:spacing w:after="80" w:line="300" w:lineRule="auto"/>
      </w:pPr>
    </w:lvl>
  </w:abstractNum>
  <w:num w:numId="9102">
    <w:abstractNumId w:val="90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List">
    <w:name w:val="Contract List"/>
    <w:basedOn w:val="Normal"/>
    <w:pPr>
      <w:widowControl/>
      <w:spacing w:after="80" w:line="300" w:lineRule="auto"/>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Версия 0.5: один запуск = одна организация + один полный календарный месяц YYYY-MM; год, квартал и произвольный диапазон не поддерживаются; годовой архив допустим только как контейнер выбранного месяца.</dc:description>
  <cp:lastModifiedBy/>
  <cp:revision>1</cp:revision>
  <dcterms:created xsi:type="dcterms:W3CDTF">2013-12-23T23:15:00Z</dcterms:created>
  <dcterms:modified xsi:type="dcterms:W3CDTF">2013-12-23T23:15:00Z</dcterms:modified>
  <cp:category/>
</cp:coreProperties>
</file>