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aps/>
          <w:color w:val="7C3AED"/>
          <w:sz w:val="16"/>
          <w:szCs w:val="16"/>
        </w:rPr>
        <w:t xml:space="preserve">Heal Thyroid with Swapnil</w:t>
      </w:r>
    </w:p>
    <w:p>
      <w:pPr>
        <w:pStyle w:val="Heading1"/>
        <w:spacing w:after="60"/>
      </w:pPr>
      <w:r>
        <w:rPr>
          <w:rFonts w:ascii="Calibri Light" w:cs="Calibri Light" w:eastAsia="Calibri Light" w:hAnsi="Calibri Light"/>
          <w:b/>
          <w:bCs/>
          <w:color w:val="1A1520"/>
          <w:sz w:val="44"/>
          <w:szCs w:val="44"/>
        </w:rPr>
        <w:t xml:space="preserve">Onboarding &amp; Payment Status</w:t>
      </w:r>
    </w:p>
    <w:p>
      <w:pPr>
        <w:pBdr>
          <w:bottom w:val="single" w:color="7C3AED" w:sz="6" w:space="8"/>
        </w:pBdr>
        <w:spacing w:after="400"/>
      </w:pPr>
      <w:r>
        <w:rPr>
          <w:rFonts w:ascii="Calibri" w:cs="Calibri" w:eastAsia="Calibri" w:hAnsi="Calibri"/>
          <w:color w:val="6B6478"/>
          <w:sz w:val="19"/>
          <w:szCs w:val="19"/>
        </w:rPr>
        <w:t xml:space="preserve">21 – 25 August 2026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1400"/>
        <w:gridCol w:w="3100"/>
        <w:gridCol w:w="1080"/>
        <w:gridCol w:w="1400"/>
        <w:gridCol w:w="4778"/>
      </w:tblGrid>
      <w:tr>
        <w:trPr>
          <w:tblHeader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#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Client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City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Presenting with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Started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Amount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6B6478"/>
                <w:sz w:val="15"/>
                <w:szCs w:val="15"/>
              </w:rPr>
              <w:t xml:space="preserve">Remark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Ankita Marketkar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Mumbai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Pre-diabetic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21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₹25,000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Ruma Acharya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Kolkata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Pre-diabetic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22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₹30,000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Sangita Singh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Noida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Acid reflux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22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₹32,500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D. Sitamahalakshmi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Peddapuram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Varicose veins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23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₹35,000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Dr Sanju Harne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Bhopal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Pre-diabetic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23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₹40,000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Kaustubh Parab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Mumbai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BP + Pre-diabetic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24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₹45,000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Payment by 25 Aug 2026, 4:30 PM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Manish Kumar Sinha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Gurgaon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24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₹20,000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Payment by 25 Aug 2026, 4:30 PM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Nisha Ajimon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Dadra &amp; N.H.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BP + Pre-diabetic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25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₹50,000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E4E0EA" w:sz="4"/>
              <w:right w:val="none" w:color="FFFFFF" w:sz="0"/>
            </w:tcBorders>
            <w:shd w:fill="FAF9FC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09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Poonam Nikam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Mumbai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20"/>
                <w:sz w:val="19"/>
                <w:szCs w:val="19"/>
              </w:rPr>
              <w:t xml:space="preserve">Hypothyroidism + BP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6478"/>
                <w:sz w:val="19"/>
                <w:szCs w:val="19"/>
              </w:rPr>
              <w:t xml:space="preserve">21 Aug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520"/>
                <w:sz w:val="19"/>
                <w:szCs w:val="19"/>
              </w:rPr>
              <w:t xml:space="preserve">₹22,500</w:t>
            </w:r>
          </w:p>
        </w:tc>
        <w:tc>
          <w:tcPr>
            <w:tcW w:type="dxa" w:w="4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Payment promised by 24 August, 11:30 PM (Waiting)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i/>
          <w:iCs/>
          <w:color w:val="6B6478"/>
          <w:sz w:val="16"/>
          <w:szCs w:val="16"/>
        </w:rPr>
        <w:t xml:space="preserve">Internal record. Contains client names, health conditions and fees — not for sharing outside the practice without each client’s consent.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2026-08-25T09:58:58.791Z</dcterms:created>
  <dcterms:modified xsi:type="dcterms:W3CDTF">2026-08-25T09:58:58.795Z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