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240" w:lineRule="auto" w:line="276"/>
        <w:jc w:val="center"/>
        <w:rPr/>
      </w:pPr>
      <w:r>
        <w:rPr>
          <w:rFonts w:ascii="Times New Roman" w:hAnsi="Times New Roman"/>
          <w:b/>
          <w:color w:val="111111"/>
          <w:sz w:val="36"/>
        </w:rPr>
        <w:t>Modeling Exchange Rate Divergence Risk in a Liberalized Forex Regime: A Markov-Switching Monte Carlo Framework for Ethiopian Importers</w:t>
      </w:r>
    </w:p>
    <w:p>
      <w:pPr>
        <w:pStyle w:val="style0"/>
        <w:spacing w:before="0" w:after="400"/>
        <w:jc w:val="center"/>
        <w:rPr/>
      </w:pPr>
      <w:r>
        <w:rPr>
          <w:b/>
          <w:sz w:val="24"/>
        </w:rPr>
        <w:t>Fitsum Asegahegn</w:t>
      </w:r>
      <w:r>
        <w:rPr>
          <w:b/>
          <w:sz w:val="24"/>
        </w:rPr>
        <w:br/>
      </w:r>
      <w:r>
        <w:rPr>
          <w:i/>
          <w:color w:val="555555"/>
          <w:sz w:val="21"/>
        </w:rPr>
        <w:t>B.Sc. Statistics, Addis Ababa University</w:t>
      </w:r>
      <w:r>
        <w:rPr>
          <w:i/>
          <w:color w:val="555555"/>
          <w:sz w:val="21"/>
        </w:rPr>
        <w:br/>
      </w:r>
      <w:r>
        <w:rPr>
          <w:i/>
          <w:color w:val="555555"/>
          <w:sz w:val="21"/>
        </w:rPr>
        <w:t>June 2026</w:t>
      </w:r>
    </w:p>
    <w:tbl>
      <w:tblPr>
        <w:tblW w:w="0" w:type="auto"/>
        <w:jc w:val="center"/>
        <w:tblLook w:val="04A0" w:firstRow="1" w:lastRow="0" w:firstColumn="1" w:lastColumn="0" w:noHBand="0" w:noVBand="1"/>
      </w:tblPr>
      <w:tblGrid>
        <w:gridCol w:w="9360"/>
      </w:tblGrid>
      <w:tr>
        <w:trPr>
          <w:jc w:val="center"/>
        </w:trPr>
        <w:tc>
          <w:tcPr>
            <w:tcW w:w="9360" w:type="dxa"/>
            <w:tcBorders>
              <w:top w:val="none" w:sz="4" w:space="0" w:color="auto"/>
              <w:left w:val="single" w:sz="24" w:space="0" w:color="1f4e78"/>
              <w:bottom w:val="none" w:sz="4" w:space="0" w:color="auto"/>
              <w:right w:val="none" w:sz="4" w:space="0" w:color="auto"/>
            </w:tcBorders>
            <w:shd w:val="nil" w:color="auto" w:fill="f4f6f8"/>
            <w:tcMar>
              <w:top w:w="140" w:type="dxa"/>
              <w:left w:w="200" w:type="dxa"/>
              <w:bottom w:w="140" w:type="dxa"/>
              <w:right w:w="200" w:type="dxa"/>
            </w:tcMar>
          </w:tcPr>
          <w:p>
            <w:pPr>
              <w:pStyle w:val="style0"/>
              <w:spacing w:after="120"/>
              <w:rPr/>
            </w:pPr>
            <w:r>
              <w:rPr>
                <w:b/>
                <w:color w:val="1f4e78"/>
                <w:sz w:val="22"/>
              </w:rPr>
              <w:t>Abstract</w:t>
            </w:r>
            <w:r>
              <w:rPr>
                <w:b/>
                <w:color w:val="1f4e78"/>
                <w:sz w:val="22"/>
              </w:rPr>
              <w:br/>
            </w:r>
            <w:r>
              <w:rPr>
                <w:color w:val="333333"/>
                <w:sz w:val="20"/>
              </w:rPr>
              <w:t>The transition to a market-based foreign exchange regime in Ethiopia (2025/26) introduced a persistent spread between the official National Bank of Ethiopia (NBE) rate and the parallel market rate, exposing import-dependent businesses to unquantified financial risk. While the banking sector’s portfolio exposure has been modeled through optimization frameworks, the downstream cost of spread volatility for individual firms remains largely untreated in accessible, decision-support tools. This paper proposes a regime-switching Monte Carlo simulation framework designed explicitly for the small-data, high-uncertainty environment of Ethiopian parallel market spread series. A two-state Markov switching model captures shifts between low- and high-divergence regimes, and Monte Carlo simulation generates probabilistic loss distributions for an importer’s blended currency exposure. The methodology is implemented as a free, interactive web application — the Forex Divergence Risk Simulator — that allows non-specialist users to input their transaction profile and receive probability-weighted cost scenarios, including a policy-stress-test button. The paper details the theoretical underpinnings, the Markov-Monte Carlo coupling, the data strategy for short parallel-market series, and a validation framework using synthetic data calibrated to post-liberalization Ethiopian spread characteristics.</w:t>
            </w:r>
          </w:p>
          <w:p>
            <w:pPr>
              <w:pStyle w:val="style0"/>
              <w:spacing w:before="120" w:after="0"/>
              <w:rPr/>
            </w:pPr>
            <w:r>
              <w:rPr>
                <w:b/>
                <w:sz w:val="19"/>
              </w:rPr>
              <w:t xml:space="preserve">Keywords: </w:t>
            </w:r>
            <w:r>
              <w:rPr>
                <w:i/>
                <w:sz w:val="19"/>
              </w:rPr>
              <w:t>exchange rate divergence, parallel market, Markov switching, Monte Carlo simulation, import risk, Ethiopia, forex liberalization</w:t>
            </w:r>
          </w:p>
        </w:tc>
      </w:tr>
    </w:tbl>
    <w:p>
      <w:pPr>
        <w:pStyle w:val="style0"/>
        <w:spacing w:after="240"/>
        <w:rPr/>
      </w:pPr>
    </w:p>
    <w:p>
      <w:pPr>
        <w:pStyle w:val="style0"/>
        <w:keepNext/>
        <w:spacing w:before="360" w:after="120"/>
        <w:rPr/>
      </w:pPr>
      <w:r>
        <w:rPr>
          <w:rFonts w:ascii="Times New Roman" w:hAnsi="Times New Roman"/>
          <w:b/>
          <w:color w:val="1f4e78"/>
          <w:sz w:val="28"/>
        </w:rPr>
        <w:t>1. Introduction</w:t>
      </w:r>
    </w:p>
    <w:p>
      <w:pPr>
        <w:pStyle w:val="style0"/>
        <w:spacing w:before="0" w:after="120" w:lineRule="auto" w:line="276"/>
        <w:rPr/>
      </w:pPr>
      <w:r>
        <w:t>Ethiopia’s 2025/26 forex liberalization policy moved the country from a tightly managed exchange rate to a more flexible, market-determined regime. While this shift has been credited with easing some foreign currency shortages, it also introduced a dual-rate reality: the official rate determined by bank trading and central bank guidance, and a parallel (often called “black market”) rate that reflects informal supply-demand imbalances. The spread between these two rates can be volatile, reaching double-digit percentages over short periods, and is driven by policy announcements, seasonal import demand, remittance flows, and speculative behavior.</w:t>
      </w:r>
    </w:p>
    <w:p>
      <w:pPr>
        <w:pStyle w:val="style0"/>
        <w:spacing w:before="0" w:after="120" w:lineRule="auto" w:line="276"/>
        <w:rPr/>
      </w:pPr>
      <w:r>
        <w:t>For an import-dependent business — a manufacturer sourcing raw materials, a retailer stocking goods — currency exchange often occurs at a mix of both rates. A typical small importer might access a portion of forex through official bank channels at the NBE rate while being forced to cover the remainder through parallel-market transactions at a higher Birr-per-dollar cost. The financial impact of this spread, cumulated over a quarter or a year, can be substantial, yet most businesses lack any tool to quantify the probability of severe loss or to stress-test their exposure under extreme divergence scenarios.</w:t>
      </w:r>
    </w:p>
    <w:p>
      <w:pPr>
        <w:pStyle w:val="style0"/>
        <w:spacing w:before="0" w:after="120" w:lineRule="auto" w:line="276"/>
        <w:rPr/>
      </w:pPr>
      <w:r>
        <w:t>Previous work by the author (Asegahegn, 2026) developed a Markowitz mean-variance optimization model for Ethiopian commercial banks’ return on equity, incorporating forex stress testing via Monte Carlo simulation. That thesis demonstrated the feasibility and value of forward-looking, simulation-based risk quantification for the financial sector. The present project extends this line of inquiry to the real-economy firms those banks serve, asking: Can we build a simple, interactive tool that takes a firm’s blended forex profile and outputs a complete probability distribution of excess costs due to official-parallel rate divergence?</w:t>
      </w:r>
    </w:p>
    <w:p>
      <w:pPr>
        <w:pStyle w:val="style0"/>
        <w:spacing w:before="0" w:after="120" w:lineRule="auto" w:line="276"/>
        <w:rPr/>
      </w:pPr>
      <w:r>
        <w:t>This paper presents the design of such a tool. Section 2 reviews the relevant literature on parallel exchange markets and regime-switching exchange rate models. Section 3 describes the two-state Markov switching model, the Monte Carlo simulation engine, and the stress-test scenario design. Section 4 outlines a validation plan using synthetic data and backtesting against observed spread paths. Section 5 discusses deployment, limitations, and the policy-stress button as a novel interactive feature. Section 6 concludes with the tool’s position in the broader portfolio of applied Ethiopian financial analytics.</w:t>
      </w:r>
    </w:p>
    <w:p>
      <w:pPr>
        <w:pStyle w:val="style0"/>
        <w:keepNext/>
        <w:spacing w:before="360" w:after="120"/>
        <w:rPr/>
      </w:pPr>
      <w:r>
        <w:rPr>
          <w:rFonts w:ascii="Times New Roman" w:hAnsi="Times New Roman"/>
          <w:b/>
          <w:color w:val="1f4e78"/>
          <w:sz w:val="28"/>
        </w:rPr>
        <w:t>2. Literature Review</w:t>
      </w:r>
    </w:p>
    <w:p>
      <w:pPr>
        <w:pStyle w:val="style0"/>
        <w:keepNext/>
        <w:spacing w:before="240" w:after="80"/>
        <w:rPr/>
      </w:pPr>
      <w:r>
        <w:rPr>
          <w:rFonts w:ascii="Times New Roman" w:hAnsi="Times New Roman"/>
          <w:b/>
          <w:color w:val="2d3748"/>
          <w:sz w:val="24"/>
        </w:rPr>
        <w:t>2.1 Parallel Exchange Markets in Developing Economies</w:t>
      </w:r>
    </w:p>
    <w:p>
      <w:pPr>
        <w:pStyle w:val="style0"/>
        <w:spacing w:before="0" w:after="120" w:lineRule="auto" w:line="276"/>
        <w:rPr/>
      </w:pPr>
      <w:r>
        <w:t>Parallel foreign exchange markets emerge when official channels ration foreign currency, creating a price differential that reflects unmet demand. The magnitude and volatility of this spread have been studied extensively in African contexts, including pre-liberalization Ethiopia (Agenor, 1992). Empirical studies commonly find that the parallel premium is driven by monetary expansion, trade restrictions, and expectations of official devaluation. In Ethiopia’s new managed float, the parallel market persists, though its dynamics are less chronic and more episodic, closely linked to central bank policy communication and seasonal dollar demand from importers.</w:t>
      </w:r>
    </w:p>
    <w:p>
      <w:pPr>
        <w:pStyle w:val="style0"/>
        <w:keepNext/>
        <w:spacing w:before="240" w:after="80"/>
        <w:rPr/>
      </w:pPr>
      <w:r>
        <w:rPr>
          <w:rFonts w:ascii="Times New Roman" w:hAnsi="Times New Roman"/>
          <w:b/>
          <w:color w:val="2d3748"/>
          <w:sz w:val="24"/>
        </w:rPr>
        <w:t>2.2 Regime-Switching Models for Exchange Rates</w:t>
      </w:r>
    </w:p>
    <w:p>
      <w:pPr>
        <w:pStyle w:val="style0"/>
        <w:spacing w:before="0" w:after="120" w:lineRule="auto" w:line="276"/>
        <w:rPr/>
      </w:pPr>
      <w:r>
        <w:t>Hamilton’s (1989) Markov switching model allows a time series to transition between distinct states (regimes) according to a latent Markov chain, with each state characterized by its own mean and variance. This framework is well-suited to exchange rate spreads that exhibit periods of calm (low, stable spread) interrupted by turbulent episodes (high spread with elevated volatility). Subsequent work has applied Markov switching to emerging-market exchange rates (Engel &amp; Hamilton, 1990), often finding that two-state models capture the main features of the data. For the Ethiopian parallel spread, a two-state specification — “normal” and “stressed” — maps naturally to business intuition and keeps the model parsimonious given limited data.</w:t>
      </w:r>
    </w:p>
    <w:p>
      <w:pPr>
        <w:pStyle w:val="style0"/>
        <w:keepNext/>
        <w:spacing w:before="240" w:after="80"/>
        <w:rPr/>
      </w:pPr>
      <w:r>
        <w:rPr>
          <w:rFonts w:ascii="Times New Roman" w:hAnsi="Times New Roman"/>
          <w:b/>
          <w:color w:val="2d3748"/>
          <w:sz w:val="24"/>
        </w:rPr>
        <w:t>2.3 Monte Carlo Simulation for Financial Risk</w:t>
      </w:r>
    </w:p>
    <w:p>
      <w:pPr>
        <w:pStyle w:val="style0"/>
        <w:spacing w:before="0" w:after="120" w:lineRule="auto" w:line="276"/>
        <w:rPr/>
      </w:pPr>
      <w:r>
        <w:t>Monte Carlo methods are the standard toolkit for propagating parameter and model uncertainty into forward-looking loss distributions. In corporate finance, Monte Carlo simulation is routinely used for cash-flow-at-risk and currency exposure analysis, but these applications typically assume long historical time series for calibration. The literature on small-sample Monte Carlo design emphasizes the importance of resampling and bootstrapping parameters to account for estimation error (Jorion, 2007). Our approach draws on the author’s prior experience applying bootstrap and Monte Carlo to bank portfolio risk (Asegahegn, 2026) and adapts it to the specific problem of exchange rate spread uncertainty.</w:t>
      </w:r>
    </w:p>
    <w:p>
      <w:pPr>
        <w:pStyle w:val="style0"/>
        <w:keepNext/>
        <w:spacing w:before="240" w:after="80"/>
        <w:rPr/>
      </w:pPr>
      <w:r>
        <w:rPr>
          <w:rFonts w:ascii="Times New Roman" w:hAnsi="Times New Roman"/>
          <w:b/>
          <w:color w:val="2d3748"/>
          <w:sz w:val="24"/>
        </w:rPr>
        <w:t>2.4 Decision-Support Tools for Currency Risk</w:t>
      </w:r>
    </w:p>
    <w:p>
      <w:pPr>
        <w:pStyle w:val="style0"/>
        <w:spacing w:before="0" w:after="120" w:lineRule="auto" w:line="276"/>
        <w:rPr/>
      </w:pPr>
      <w:r>
        <w:t>While commercial platforms (Bloomberg, Reuters) offer sophisticated currency analytics, they remain cost-prohibitive and technically overwhelming for small and medium enterprises in Ethiopia. Academic prototypes of user-friendly currency risk dashboards are rare. Our project fills this gap by providing a free, web-based tool that hides the econometric complexity behind sliders and a single “stress button.”</w:t>
      </w:r>
    </w:p>
    <w:p>
      <w:pPr>
        <w:pStyle w:val="style0"/>
        <w:keepNext/>
        <w:spacing w:before="360" w:after="120"/>
        <w:rPr/>
      </w:pPr>
      <w:r>
        <w:rPr>
          <w:rFonts w:ascii="Times New Roman" w:hAnsi="Times New Roman"/>
          <w:b/>
          <w:color w:val="1f4e78"/>
          <w:sz w:val="28"/>
        </w:rPr>
        <w:t>3. Methodology</w:t>
      </w:r>
    </w:p>
    <w:p>
      <w:pPr>
        <w:pStyle w:val="style0"/>
        <w:keepNext/>
        <w:spacing w:before="240" w:after="80"/>
        <w:rPr/>
      </w:pPr>
      <w:r>
        <w:rPr>
          <w:rFonts w:ascii="Times New Roman" w:hAnsi="Times New Roman"/>
          <w:b/>
          <w:color w:val="2d3748"/>
          <w:sz w:val="24"/>
        </w:rPr>
        <w:t>3.1 Data and Spread Construction</w:t>
      </w:r>
    </w:p>
    <w:p>
      <w:pPr>
        <w:pStyle w:val="style0"/>
        <w:spacing w:before="0" w:after="120" w:lineRule="auto" w:line="276"/>
        <w:rPr/>
      </w:pPr>
      <w:r>
        <w:t>The core input is a weekly time series of the spread:</w:t>
      </w:r>
    </w:p>
    <w:p>
      <w:pPr>
        <w:pStyle w:val="style0"/>
        <w:spacing w:before="80" w:after="120"/>
        <w:jc w:val="center"/>
        <w:rPr/>
      </w:pPr>
      <w:r>
        <w:rPr>
          <w:i/>
        </w:rPr>
        <w:t>s_t = Parallel Rate_t - Official Rate_t</w:t>
      </w:r>
    </w:p>
    <w:p>
      <w:pPr>
        <w:pStyle w:val="style0"/>
        <w:spacing w:before="0" w:after="120" w:lineRule="auto" w:line="276"/>
        <w:rPr/>
      </w:pPr>
      <w:r>
        <w:t>expressed in Birr per US dollar (or percentage of the official rate). For the initial deployment, a synthetic dataset of 100–150 weekly observations is used, calibrated to mimic the post-liberalization Ethiopian spread: a mean around 5–10 Birr, with occasional spikes to 20+ Birr, and periods of low volatility. Once a manually curated dataset from trusted local sources (economic bulletins, verified Telegram channels, bureau quotes) is available, the synthetic data will be replaced. The tool includes a data upload feature for users with their own spread series.</w:t>
      </w:r>
    </w:p>
    <w:p>
      <w:pPr>
        <w:pStyle w:val="style0"/>
        <w:keepNext/>
        <w:spacing w:before="240" w:after="80"/>
        <w:rPr/>
      </w:pPr>
      <w:r>
        <w:rPr>
          <w:rFonts w:ascii="Times New Roman" w:hAnsi="Times New Roman"/>
          <w:b/>
          <w:color w:val="2d3748"/>
          <w:sz w:val="24"/>
        </w:rPr>
        <w:t>3.2 Two-State Markov Switching Model</w:t>
      </w:r>
    </w:p>
    <w:p>
      <w:pPr>
        <w:pStyle w:val="style0"/>
        <w:spacing w:before="0" w:after="120" w:lineRule="auto" w:line="276"/>
        <w:rPr/>
      </w:pPr>
      <w:r>
        <w:t>We model the spread s_t as:</w:t>
      </w:r>
    </w:p>
    <w:p>
      <w:pPr>
        <w:pStyle w:val="style0"/>
        <w:spacing w:before="80" w:after="120"/>
        <w:jc w:val="center"/>
        <w:rPr/>
      </w:pPr>
      <w:r>
        <w:rPr>
          <w:i/>
        </w:rPr>
        <w:t>s_t = μ_{S_t} + ε_t,    ε_t ~ N(0, σ_{S_t}^2)</w:t>
      </w:r>
    </w:p>
    <w:p>
      <w:pPr>
        <w:pStyle w:val="style0"/>
        <w:spacing w:before="0" w:after="120" w:lineRule="auto" w:line="276"/>
        <w:rPr/>
      </w:pPr>
      <w:r>
        <w:t>where S_t ∈ {1, 2} is a latent state variable following a first-order Markov chain with transition probabilities:</w:t>
      </w:r>
    </w:p>
    <w:p>
      <w:pPr>
        <w:pStyle w:val="style0"/>
        <w:spacing w:before="80" w:after="120"/>
        <w:jc w:val="center"/>
        <w:rPr/>
      </w:pPr>
      <w:r>
        <w:rPr>
          <w:i/>
        </w:rPr>
        <w:t>P(S_t = j | S_{t-1} = i) = p_{ij}</w:t>
      </w:r>
    </w:p>
    <w:p>
      <w:pPr>
        <w:pStyle w:val="style0"/>
        <w:spacing w:before="0" w:after="120" w:lineRule="auto" w:line="276"/>
        <w:rPr/>
      </w:pPr>
      <w:r>
        <w:t>State 1 represents a “low spread” regime (low mean, low volatility), and State 2 represents a “high spread” regime (higher mean, possibly higher volatility). The model is estimated via maximum likelihood using the Hamilton filter, with smoothed probabilities extracted for historical regime identification.</w:t>
      </w:r>
    </w:p>
    <w:p>
      <w:pPr>
        <w:pStyle w:val="style0"/>
        <w:spacing w:before="0" w:after="120" w:lineRule="auto" w:line="276"/>
        <w:rPr/>
      </w:pPr>
      <w:r>
        <w:t>In the current deployed version, regime parameters (μ̂₁, μ̂₂, σ̂₁, σ̂₂, and the transition matrix) are illustrative placeholders rather than values fitted by maximum likelihood — the tool displays this openly to users. Once a curated weekly spread series is collected, the plan is to fit the model either via a Bayesian approach with weakly informative priors (to stabilize estimates given the short series) or, as a lighter-weight fallback, a rolling-quantile regime classification. The user-facing tool is designed to let the analyst switch between a fitted Markov-switching model and a user-defined regime classification, with full transparency about which is active.</w:t>
      </w:r>
    </w:p>
    <w:p>
      <w:pPr>
        <w:pStyle w:val="style0"/>
        <w:keepNext/>
        <w:spacing w:before="240" w:after="80"/>
        <w:rPr/>
      </w:pPr>
      <w:r>
        <w:rPr>
          <w:rFonts w:ascii="Times New Roman" w:hAnsi="Times New Roman"/>
          <w:b/>
          <w:color w:val="2d3748"/>
          <w:sz w:val="24"/>
        </w:rPr>
        <w:t>3.3 Monte Carlo Simulation of Future Spread Paths</w:t>
      </w:r>
    </w:p>
    <w:p>
      <w:pPr>
        <w:pStyle w:val="style0"/>
        <w:spacing w:before="0" w:after="120" w:lineRule="auto" w:line="276"/>
        <w:rPr/>
      </w:pPr>
      <w:r>
        <w:t>Having estimated the parameters (μ̂_1, μ̂_2, σ̂_1, σ̂_2, P̂), we simulate M = 10,000 future paths of the spread over horizon h (1 to 12 months). For each month t = n+1, …, n+h:</w:t>
      </w:r>
    </w:p>
    <w:p>
      <w:pPr>
        <w:pStyle w:val="style48"/>
        <w:spacing w:before="0" w:after="80" w:lineRule="auto" w:line="276"/>
        <w:rPr/>
      </w:pPr>
      <w:r>
        <w:t>1. Draw the regime S_t from the estimated transition matrix, given S_{t-1}.</w:t>
      </w:r>
    </w:p>
    <w:p>
      <w:pPr>
        <w:pStyle w:val="style48"/>
        <w:spacing w:before="0" w:after="80" w:lineRule="auto" w:line="276"/>
        <w:rPr/>
      </w:pPr>
      <w:r>
        <w:t>2. Draw s_t ~ N(μ̂_{S_t}, σ̂_{S_t}^2).</w:t>
      </w:r>
    </w:p>
    <w:p>
      <w:pPr>
        <w:pStyle w:val="style0"/>
        <w:spacing w:before="0" w:after="120" w:lineRule="auto" w:line="276"/>
        <w:rPr/>
      </w:pPr>
      <w:r>
        <w:t>To account for parameter uncertainty, we bootstrap the original spread series (block bootstrap, as in the companion Bootstrap Forecaster) to obtain B resampled series, re-estimate the Markov switching model on each, and then simulate one path per parameter draw. This yields a total of M × B simulated scenarios, properly reflecting both regime uncertainty and estimation noise.</w:t>
      </w:r>
    </w:p>
    <w:p>
      <w:pPr>
        <w:pStyle w:val="style0"/>
        <w:keepNext/>
        <w:spacing w:before="240" w:after="80"/>
        <w:rPr/>
      </w:pPr>
      <w:r>
        <w:rPr>
          <w:rFonts w:ascii="Times New Roman" w:hAnsi="Times New Roman"/>
          <w:b/>
          <w:color w:val="2d3748"/>
          <w:sz w:val="24"/>
        </w:rPr>
        <w:t>3.4 Blended Cost Calculation</w:t>
      </w:r>
    </w:p>
    <w:p>
      <w:pPr>
        <w:pStyle w:val="style0"/>
        <w:spacing w:before="0" w:after="120" w:lineRule="auto" w:line="276"/>
        <w:rPr/>
      </w:pPr>
      <w:r>
        <w:t>The user provides:</w:t>
      </w:r>
    </w:p>
    <w:p>
      <w:pPr>
        <w:pStyle w:val="style48"/>
        <w:spacing w:before="0" w:after="80" w:lineRule="auto" w:line="276"/>
        <w:rPr/>
      </w:pPr>
      <w:r>
        <w:t>Monthly import volume in USD (or Birr), V.</w:t>
      </w:r>
    </w:p>
    <w:p>
      <w:pPr>
        <w:pStyle w:val="style48"/>
        <w:spacing w:before="0" w:after="80" w:lineRule="auto" w:line="276"/>
        <w:rPr/>
      </w:pPr>
      <w:r>
        <w:t>Fraction of transactions at the official rate, α (0 to 1).</w:t>
      </w:r>
    </w:p>
    <w:p>
      <w:pPr>
        <w:pStyle w:val="style0"/>
        <w:spacing w:before="0" w:after="120" w:lineRule="auto" w:line="276"/>
        <w:rPr/>
      </w:pPr>
      <w:r>
        <w:t>The additional cost in month t (in Birr) due to divergence is:</w:t>
      </w:r>
    </w:p>
    <w:p>
      <w:pPr>
        <w:pStyle w:val="style0"/>
        <w:spacing w:before="80" w:after="120"/>
        <w:jc w:val="center"/>
        <w:rPr/>
      </w:pPr>
      <w:r>
        <w:rPr>
          <w:i/>
        </w:rPr>
        <w:t>C_t = V × (1 - α) × s_t</w:t>
      </w:r>
    </w:p>
    <w:p>
      <w:pPr>
        <w:pStyle w:val="style0"/>
        <w:spacing w:before="0" w:after="120" w:lineRule="auto" w:line="276"/>
        <w:rPr/>
      </w:pPr>
      <w:r>
        <w:t>If the user chooses to think in terms of Birr import volume, the formula adapts accordingly. Total cumulative excess cost over the horizon is C = ∑_{t=n+1}^{n+h} C_t.</w:t>
      </w:r>
    </w:p>
    <w:p>
      <w:pPr>
        <w:pStyle w:val="style0"/>
        <w:spacing w:before="0" w:after="120" w:lineRule="auto" w:line="276"/>
        <w:rPr/>
      </w:pPr>
      <w:r>
        <w:t>The tool then computes the empirical distribution of C from the simulated paths and presents:</w:t>
      </w:r>
    </w:p>
    <w:p>
      <w:pPr>
        <w:pStyle w:val="style48"/>
        <w:spacing w:before="0" w:after="80" w:lineRule="auto" w:line="276"/>
        <w:rPr/>
      </w:pPr>
      <w:r>
        <w:t>The median, mean, and 5th/95th percentiles of total extra cost.</w:t>
      </w:r>
    </w:p>
    <w:p>
      <w:pPr>
        <w:pStyle w:val="style48"/>
        <w:spacing w:before="0" w:after="80" w:lineRule="auto" w:line="276"/>
        <w:rPr/>
      </w:pPr>
      <w:r>
        <w:t>The probability that C exceeds a user-specified threshold (e.g., “What’s the chance I spend more than 500,000 Birr extra?”).</w:t>
      </w:r>
    </w:p>
    <w:p>
      <w:pPr>
        <w:pStyle w:val="style48"/>
        <w:spacing w:before="0" w:after="80" w:lineRule="auto" w:line="276"/>
        <w:rPr/>
      </w:pPr>
      <w:r>
        <w:t>A fan chart of the forecasted spread itself.</w:t>
      </w:r>
    </w:p>
    <w:p>
      <w:pPr>
        <w:pStyle w:val="style0"/>
        <w:keepNext/>
        <w:spacing w:before="240" w:after="80"/>
        <w:rPr/>
      </w:pPr>
      <w:r>
        <w:rPr>
          <w:rFonts w:ascii="Times New Roman" w:hAnsi="Times New Roman"/>
          <w:b/>
          <w:color w:val="2d3748"/>
          <w:sz w:val="24"/>
        </w:rPr>
        <w:t>3.5 Stress-Test Scenario</w:t>
      </w:r>
    </w:p>
    <w:p>
      <w:pPr>
        <w:pStyle w:val="style0"/>
        <w:spacing w:before="0" w:after="120" w:lineRule="auto" w:line="276"/>
        <w:rPr/>
      </w:pPr>
      <w:r>
        <w:t>The “stress button” instantly applies a hypothetical policy shock: e.g., a 15% devaluation of the official rate (which would temporarily compress the spread) or a crackdown on parallel trading (which could widen it). Technically, this is implemented by adjusting the mean of one regime or forcing an immediate transition to State 2 at the forecast origin. The tool re-runs the Monte Carlo simulation under this scenario and overlays the new loss distribution on the baseline, visually emphasizing how the tail risk changes.</w:t>
      </w:r>
    </w:p>
    <w:p>
      <w:pPr>
        <w:pStyle w:val="style0"/>
        <w:keepNext/>
        <w:spacing w:before="240" w:after="80"/>
        <w:rPr/>
      </w:pPr>
      <w:r>
        <w:rPr>
          <w:rFonts w:ascii="Times New Roman" w:hAnsi="Times New Roman"/>
          <w:b/>
          <w:color w:val="2d3748"/>
          <w:sz w:val="24"/>
        </w:rPr>
        <w:t>3.6 Software Implementation</w:t>
      </w:r>
    </w:p>
    <w:p>
      <w:pPr>
        <w:pStyle w:val="style0"/>
        <w:spacing w:before="0" w:after="120" w:lineRule="auto" w:line="276"/>
        <w:rPr/>
      </w:pPr>
      <w:r>
        <w:t>The deployed tool is implemented entirely as client-side JavaScript, mirroring the Bootstrap Forecaster’s architecture: regime simulation, Monte Carlo path generation, and cost-distribution calculation all run in the user’s browser, with Plotly.js rendering the fan chart, with no server-side component. This keeps the tool free to host as a static site on GitHub Pages and keeps user-entered transaction data local to the browser. The current release uses illustrative regime parameters rather than parameters fitted via maximum likelihood on real data (see Section 3.2); implementing the full Hamilton-filter estimation and nested block-bootstrap re-estimation client-side in JavaScript, without a Python statistical stack, is a nontrivial extension planned for a future release. The tool is fully open-source and designed to be embedded within the author’s growing suite of Ethiopian financial analytics tools.</w:t>
      </w:r>
    </w:p>
    <w:p>
      <w:pPr>
        <w:pStyle w:val="style0"/>
        <w:keepNext/>
        <w:spacing w:before="360" w:after="120"/>
        <w:rPr/>
      </w:pPr>
      <w:r>
        <w:rPr>
          <w:rFonts w:ascii="Times New Roman" w:hAnsi="Times New Roman"/>
          <w:b/>
          <w:color w:val="1f4e78"/>
          <w:sz w:val="28"/>
        </w:rPr>
        <w:t>4. Proposed Validation Framework</w:t>
      </w:r>
    </w:p>
    <w:p>
      <w:pPr>
        <w:pStyle w:val="style0"/>
        <w:spacing w:before="0" w:after="120" w:lineRule="auto" w:line="276"/>
        <w:rPr/>
      </w:pPr>
      <w:r>
        <w:t>Because the tool currently launches with illustrative rather than fitted regime parameters, no phase of validation described below has been executed yet; we propose the following two-phase approach as the next concrete step.</w:t>
      </w:r>
    </w:p>
    <w:p>
      <w:pPr>
        <w:pStyle w:val="style0"/>
        <w:spacing w:after="80" w:lineRule="auto" w:line="276"/>
        <w:rPr/>
      </w:pPr>
      <w:r>
        <w:rPr>
          <w:b/>
        </w:rPr>
        <w:t xml:space="preserve">Phase 1: Synthetic data backtesting. </w:t>
      </w:r>
      <w:r>
        <w:t>We construct a known two-state data generating process (DGP) with parameters that approximate the Ethiopian spread. We then simulate 200 independent series of length 120 each from this DGP. For each series, we estimate the Markov switching model using the first 100 observations, forecast the spread for months 101–120, and compute the prediction interval coverage. We compare the Markov-Monte Carlo method against a naive constant-spread forecast (assuming future spread equals recent average) and a simple AR(1) model with Gaussian intervals. Performance metrics include coverage probability for 80% prediction intervals and the width of intervals relative to the true distribution.</w:t>
      </w:r>
    </w:p>
    <w:p>
      <w:pPr>
        <w:pStyle w:val="style0"/>
        <w:spacing w:after="120" w:lineRule="auto" w:line="276"/>
        <w:rPr/>
      </w:pPr>
      <w:r>
        <w:rPr>
          <w:b/>
        </w:rPr>
        <w:t xml:space="preserve">Phase 2: Real data (future). </w:t>
      </w:r>
      <w:r>
        <w:t>Once a curated dataset of actual Ethiopian parallel-market spreads is available, we will split the series into multiple rolling estimation windows and evaluate out-of-sample coverage of the simulated loss distributions for a hypothetical importer profile. User feedback from early adopters will also be collected to assess the tool’s usability and the perceived credibility of the stress-test scenarios.</w:t>
      </w:r>
    </w:p>
    <w:p>
      <w:pPr>
        <w:pStyle w:val="style0"/>
        <w:keepNext/>
        <w:spacing w:before="360" w:after="120"/>
        <w:rPr/>
      </w:pPr>
      <w:r>
        <w:rPr>
          <w:rFonts w:ascii="Times New Roman" w:hAnsi="Times New Roman"/>
          <w:b/>
          <w:color w:val="1f4e78"/>
          <w:sz w:val="28"/>
        </w:rPr>
        <w:t>5. Discussion</w:t>
      </w:r>
    </w:p>
    <w:p>
      <w:pPr>
        <w:pStyle w:val="style0"/>
        <w:spacing w:after="120" w:lineRule="auto" w:line="276"/>
        <w:rPr/>
      </w:pPr>
      <w:r>
        <w:rPr>
          <w:b/>
        </w:rPr>
        <w:t xml:space="preserve">Policy relevance. </w:t>
      </w:r>
      <w:r>
        <w:t>The tool’s stress-test feature provides a concrete, defensible way for businesses to prepare for exchange-rate shocks, and could potentially inform conversations between importers, banks, and policymakers. By making the probability of excessive loss transparent, the tool aligns with the increasing emphasis on risk-based decision-making in Ethiopia’s post-liberalization economy.</w:t>
      </w:r>
    </w:p>
    <w:p>
      <w:pPr>
        <w:pStyle w:val="style0"/>
        <w:spacing w:after="120" w:lineRule="auto" w:line="276"/>
        <w:rPr/>
      </w:pPr>
      <w:r>
        <w:rPr>
          <w:b/>
        </w:rPr>
        <w:t xml:space="preserve">Data sensitivity. </w:t>
      </w:r>
      <w:r>
        <w:t>The parallel market remains a politically sensitive topic. The tool’s reliance on user-provided or open-source data, and its educational framing, mitigates regulatory risk. The stress-button scenarios are hypothetical by design and do not represent forecasts of government action.</w:t>
      </w:r>
    </w:p>
    <w:p>
      <w:pPr>
        <w:pStyle w:val="style0"/>
        <w:spacing w:after="120" w:lineRule="auto" w:line="276"/>
        <w:rPr/>
      </w:pPr>
      <w:r>
        <w:rPr>
          <w:b/>
        </w:rPr>
        <w:t xml:space="preserve">Extension to portfolio-level risk. </w:t>
      </w:r>
      <w:r>
        <w:t>In future work, the tool could be adapted to accept multiple currency pairs or to simulate the impact of spread divergence on a bank’s aggregate forex loan portfolio, thus closing the loop with the author’s bank-focused thesis. A “suite” integration with the Bootstrap Forecaster and the Markowitz Calculator would present a coherent applied-finance narrative.</w:t>
      </w:r>
    </w:p>
    <w:p>
      <w:pPr>
        <w:pStyle w:val="style0"/>
        <w:spacing w:after="120" w:lineRule="auto" w:line="276"/>
        <w:rPr/>
      </w:pPr>
      <w:r>
        <w:rPr>
          <w:b/>
        </w:rPr>
        <w:t xml:space="preserve">Limitations. </w:t>
      </w:r>
      <w:r>
        <w:t>The two-state Markov switching model, while practical, may oversimplify a spread that can have more gradual regime changes. The assumption of within-regime normality is suspect during extreme events, and a t-distribution or mixture specification could be explored. The tool currently ignores possible correlation between the spread and the user’s ability to access official-rate forex, which may deteriorate precisely when the spread widens. Future versions could incorporate a joint model of spread and α.</w:t>
      </w:r>
    </w:p>
    <w:p>
      <w:pPr>
        <w:pStyle w:val="style0"/>
        <w:keepNext/>
        <w:spacing w:before="360" w:after="120"/>
        <w:rPr/>
      </w:pPr>
      <w:r>
        <w:rPr>
          <w:rFonts w:ascii="Times New Roman" w:hAnsi="Times New Roman"/>
          <w:b/>
          <w:color w:val="1f4e78"/>
          <w:sz w:val="28"/>
        </w:rPr>
        <w:t>6. Conclusion</w:t>
      </w:r>
    </w:p>
    <w:p>
      <w:pPr>
        <w:pStyle w:val="style0"/>
        <w:spacing w:before="0" w:after="120" w:lineRule="auto" w:line="276"/>
        <w:rPr/>
      </w:pPr>
      <w:r>
        <w:t>The Parallel vs. Official Forex Rate Divergence Risk Simulator takes the quantitative risk-modeling approach developed in the author’s banking thesis and redirects it toward the pressing needs of Ethiopia’s import-dependent businesses. By coupling a Markov switching model of the spread with Monte Carlo simulation and embedding it in a simple web application, the tool transforms an opaque, financially material risk into a probability distribution that a business owner can understand and act upon. The live deployment, planned to follow the successful pattern of the author’s prior tools, will provide a free, accessible resource and serve as a centerpiece of the author’s applied-statistics portfolio.</w:t>
      </w:r>
    </w:p>
    <w:p>
      <w:pPr>
        <w:pStyle w:val="style0"/>
        <w:keepNext/>
        <w:spacing w:before="360" w:after="120"/>
        <w:rPr/>
      </w:pPr>
      <w:r>
        <w:rPr>
          <w:rFonts w:ascii="Times New Roman" w:hAnsi="Times New Roman"/>
          <w:b/>
          <w:color w:val="1f4e78"/>
          <w:sz w:val="28"/>
        </w:rPr>
        <w:t>References</w:t>
      </w:r>
    </w:p>
    <w:p>
      <w:pPr>
        <w:pStyle w:val="style0"/>
        <w:spacing w:before="0" w:after="80"/>
        <w:ind w:left="360" w:hanging="360"/>
        <w:rPr/>
      </w:pPr>
      <w:r>
        <w:rPr>
          <w:sz w:val="20"/>
        </w:rPr>
        <w:t>Agenor, P. R. (1992). Parallel foreign exchange markets in developing countries: Theory, evidence, and policy implications. Essays in International Finance, Princeton University, 188.</w:t>
      </w:r>
    </w:p>
    <w:p>
      <w:pPr>
        <w:pStyle w:val="style0"/>
        <w:spacing w:before="0" w:after="80"/>
        <w:ind w:left="360" w:hanging="360"/>
        <w:rPr/>
      </w:pPr>
      <w:r>
        <w:rPr>
          <w:sz w:val="20"/>
        </w:rPr>
        <w:t>Asegahegn, F. (2026). Markowitz Optimization and Forex Stress Testing for Ethiopian Commercial Bank ROE Portfolios. B.Sc. Thesis, Addis Ababa University.</w:t>
      </w:r>
    </w:p>
    <w:p>
      <w:pPr>
        <w:pStyle w:val="style0"/>
        <w:spacing w:before="0" w:after="80"/>
        <w:ind w:left="360" w:hanging="360"/>
        <w:rPr/>
      </w:pPr>
      <w:r>
        <w:rPr>
          <w:sz w:val="20"/>
        </w:rPr>
        <w:t>Engel, C., &amp; Hamilton, J. D. (1990). Long swings in the exchange rate: Are they in the data and do markets know it? American Economic Review, 80(4), 689–713.</w:t>
      </w:r>
    </w:p>
    <w:p>
      <w:pPr>
        <w:pStyle w:val="style0"/>
        <w:spacing w:before="0" w:after="80"/>
        <w:ind w:left="360" w:hanging="360"/>
        <w:rPr/>
      </w:pPr>
      <w:r>
        <w:rPr>
          <w:sz w:val="20"/>
        </w:rPr>
        <w:t>Hamilton, J. D. (1989). A new approach to the economic analysis of nonstationary time series and the business cycle. Econometrica, 57(2), 357–384.</w:t>
      </w:r>
    </w:p>
    <w:p>
      <w:pPr>
        <w:pStyle w:val="style0"/>
        <w:spacing w:before="0" w:after="80"/>
        <w:ind w:left="360" w:hanging="360"/>
        <w:rPr/>
      </w:pPr>
      <w:r>
        <w:rPr>
          <w:sz w:val="20"/>
        </w:rPr>
        <w:t>Jorion, P. (2007). Value at Risk: The New Benchmark for Managing Financial Risk (3rd ed.). McGraw-Hill.</w:t>
      </w:r>
    </w:p>
    <w:p>
      <w:pPr>
        <w:pStyle w:val="style0"/>
        <w:spacing w:after="240"/>
        <w:rPr/>
      </w:pPr>
    </w:p>
    <w:p>
      <w:pPr>
        <w:pStyle w:val="style0"/>
        <w:spacing w:before="240"/>
        <w:jc w:val="center"/>
        <w:rPr/>
      </w:pPr>
      <w:r>
        <w:rPr>
          <w:i/>
          <w:color w:val="666666"/>
          <w:sz w:val="19"/>
        </w:rPr>
        <w:t xml:space="preserve">This paper accompanies the deployed tool at </w:t>
      </w:r>
      <w:r>
        <w:rPr>
          <w:i/>
          <w:color w:val="666666"/>
          <w:sz w:val="19"/>
        </w:rPr>
        <w:fldChar w:fldCharType="begin"/>
      </w:r>
      <w:r>
        <w:rPr>
          <w:i/>
          <w:color w:val="666666"/>
          <w:sz w:val="19"/>
        </w:rPr>
        <w:instrText xml:space="preserve"> HYPERLINK "http://fitsum-asegahegn.github.io/forex-divergence-simulator/" \o "http://fitsum-asegahegn.github.io/forex-divergence-simulator/"</w:instrText>
      </w:r>
      <w:r>
        <w:rPr>
          <w:i/>
          <w:color w:val="666666"/>
          <w:sz w:val="19"/>
        </w:rPr>
        <w:fldChar w:fldCharType="separate"/>
      </w:r>
      <w:r>
        <w:rPr>
          <w:rStyle w:val="style85"/>
          <w:i/>
          <w:sz w:val="19"/>
        </w:rPr>
        <w:t>fitsum-asegahegn.github.io/forex-divergence-simulator/</w:t>
      </w:r>
      <w:r>
        <w:rPr>
          <w:i/>
          <w:color w:val="666666"/>
          <w:sz w:val="19"/>
        </w:rPr>
        <w:fldChar w:fldCharType="end"/>
      </w:r>
      <w:r>
        <w:rPr>
          <w:i/>
          <w:color w:val="666666"/>
          <w:sz w:val="19"/>
        </w:rPr>
        <w:t>, currently running with illustrative regime parameters pending the model fitting described in Section 3.2. All code and synthetic datasets are available in the corresponding GitHub repository.</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Times New Roman" w:hAnsi="Times New Roman"/>
        <w:color w:val="777777"/>
        <w:sz w:val="17"/>
      </w:rPr>
      <w:t>Fitsum Asegahegn — Addis Ababa University (June 2026)</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rFonts w:ascii="Times New Roman" w:hAnsi="Times New Roman"/>
        <w:color w:val="777777"/>
        <w:sz w:val="17"/>
      </w:rPr>
      <w:t>Modeling Exchange Rate Divergence Risk in a Liberalized Forex Regime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color w:val="222222"/>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ef2fc3d-fe90-48a8-a98f-a1bd000fc13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701ca65-a155-44b7-8a97-4ace68992f2d"/>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7b2f9ba-c287-4df8-8be6-f9600ce1844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eac11ff-5a7d-4cc0-b93b-3844ff64a2f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853af4-f6a7-40ff-bff1-e4af74316c4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f8db1da-46c5-4951-b4c9-4f48452f4a38"/>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63da2e3-9364-4709-b06d-142fe8d70e84"/>
    <w:basedOn w:val="style65"/>
    <w:next w:val="style4108"/>
    <w:link w:val="style180"/>
    <w:uiPriority w:val="29"/>
    <w:rPr>
      <w:i/>
      <w:iCs/>
      <w:color w:val="000000"/>
    </w:rPr>
  </w:style>
  <w:style w:type="character" w:customStyle="1" w:styleId="style4109">
    <w:name w:val="Heading 4 Char_df041012-967b-4494-8e49-3fb7d95de06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0a4da54-5db3-4fdc-b91f-35822276926d"/>
    <w:basedOn w:val="style65"/>
    <w:next w:val="style4110"/>
    <w:link w:val="style5"/>
    <w:uiPriority w:val="9"/>
    <w:rPr>
      <w:rFonts w:ascii="Calibri" w:cs="宋体" w:eastAsia="ＭＳ ゴシック" w:hAnsi="Calibri"/>
      <w:color w:val="243f60"/>
    </w:rPr>
  </w:style>
  <w:style w:type="character" w:customStyle="1" w:styleId="style4111">
    <w:name w:val="Heading 6 Char_f8ddbbe8-52ce-4282-b419-3e035f637a5f"/>
    <w:basedOn w:val="style65"/>
    <w:next w:val="style4111"/>
    <w:link w:val="style6"/>
    <w:uiPriority w:val="9"/>
    <w:rPr>
      <w:rFonts w:ascii="Calibri" w:cs="宋体" w:eastAsia="ＭＳ ゴシック" w:hAnsi="Calibri"/>
      <w:i/>
      <w:iCs/>
      <w:color w:val="243f60"/>
    </w:rPr>
  </w:style>
  <w:style w:type="character" w:customStyle="1" w:styleId="style4112">
    <w:name w:val="Heading 7 Char_61fa43af-e92a-4d09-a1d5-af5193c3da21"/>
    <w:basedOn w:val="style65"/>
    <w:next w:val="style4112"/>
    <w:link w:val="style7"/>
    <w:uiPriority w:val="9"/>
    <w:rPr>
      <w:rFonts w:ascii="Calibri" w:cs="宋体" w:eastAsia="ＭＳ ゴシック" w:hAnsi="Calibri"/>
      <w:i/>
      <w:iCs/>
      <w:color w:val="404040"/>
    </w:rPr>
  </w:style>
  <w:style w:type="character" w:customStyle="1" w:styleId="style4113">
    <w:name w:val="Heading 8 Char_39ab3660-dc11-4263-8173-8f54020ddc4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bf08614-457a-487b-beb8-061e44b2418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b03fb83-acf3-49c3-b9f5-2a95a8e94d3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styleId="style85">
    <w:name w:val="Hyperlink"/>
    <w:basedOn w:val="style65"/>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2413</Words>
  <Pages>1</Pages>
  <Characters>14423</Characters>
  <Application>WPS Office</Application>
  <DocSecurity>0</DocSecurity>
  <Paragraphs>75</Paragraphs>
  <ScaleCrop>false</ScaleCrop>
  <LinksUpToDate>false</LinksUpToDate>
  <CharactersWithSpaces>16772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2026-07-26T22:26:46Z</dcterms:created>
  <dc:creator>python-docx</dc:creator>
  <dc:description>generated by python-docx</dc:description>
  <lastModifiedBy>ZTE 8050</lastModifiedBy>
  <dcterms:modified xsi:type="dcterms:W3CDTF">2026-07-26T22:26:46Z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81c6badeaa114514a57a139387211501</vt:lpwstr>
  </property>
</Properties>
</file>