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Test Summary Report — Employee Leave Management System</w:t>
      </w:r>
    </w:p>
    <w:p/>
    <w:p>
      <w:pPr>
        <w:pStyle w:val="Heading1"/>
      </w:pPr>
      <w:r>
        <w:t>Document Control</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w:t>
            </w:r>
          </w:p>
        </w:tc>
      </w:tr>
      <w:tr>
        <w:tc>
          <w:tcPr>
            <w:tcW w:type="dxa" w:w="4320"/>
          </w:tcPr>
          <w:p>
            <w:r/>
            <w:r>
              <w:rPr>
                <w:sz w:val="18"/>
              </w:rPr>
              <w:t>Document</w:t>
            </w:r>
          </w:p>
        </w:tc>
        <w:tc>
          <w:tcPr>
            <w:tcW w:type="dxa" w:w="4320"/>
          </w:tcPr>
          <w:p>
            <w:r/>
            <w:r>
              <w:rPr>
                <w:sz w:val="18"/>
              </w:rPr>
              <w:t>Test Summary Report</w:t>
            </w:r>
          </w:p>
        </w:tc>
      </w:tr>
      <w:tr>
        <w:tc>
          <w:tcPr>
            <w:tcW w:type="dxa" w:w="4320"/>
          </w:tcPr>
          <w:p>
            <w:r/>
            <w:r>
              <w:rPr>
                <w:sz w:val="18"/>
              </w:rPr>
              <w:t>Project</w:t>
            </w:r>
          </w:p>
        </w:tc>
        <w:tc>
          <w:tcPr>
            <w:tcW w:type="dxa" w:w="4320"/>
          </w:tcPr>
          <w:p>
            <w:r/>
            <w:r>
              <w:rPr>
                <w:sz w:val="18"/>
              </w:rPr>
              <w:t>Employee Leave Management System</w:t>
            </w:r>
          </w:p>
        </w:tc>
      </w:tr>
      <w:tr>
        <w:tc>
          <w:tcPr>
            <w:tcW w:type="dxa" w:w="4320"/>
          </w:tcPr>
          <w:p>
            <w:r/>
            <w:r>
              <w:rPr>
                <w:sz w:val="18"/>
              </w:rPr>
              <w:t>Course</w:t>
            </w:r>
          </w:p>
        </w:tc>
        <w:tc>
          <w:tcPr>
            <w:tcW w:type="dxa" w:w="4320"/>
          </w:tcPr>
          <w:p>
            <w:r/>
            <w:r>
              <w:rPr>
                <w:sz w:val="18"/>
              </w:rPr>
              <w:t>Software Testing &amp; Validation — Final Project</w:t>
            </w:r>
          </w:p>
        </w:tc>
      </w:tr>
      <w:tr>
        <w:tc>
          <w:tcPr>
            <w:tcW w:type="dxa" w:w="4320"/>
          </w:tcPr>
          <w:p>
            <w:r/>
            <w:r>
              <w:rPr>
                <w:sz w:val="18"/>
              </w:rPr>
              <w:t>Version</w:t>
            </w:r>
          </w:p>
        </w:tc>
        <w:tc>
          <w:tcPr>
            <w:tcW w:type="dxa" w:w="4320"/>
          </w:tcPr>
          <w:p>
            <w:r/>
            <w:r>
              <w:rPr>
                <w:sz w:val="18"/>
              </w:rPr>
              <w:t>1.0</w:t>
            </w:r>
          </w:p>
        </w:tc>
      </w:tr>
      <w:tr>
        <w:tc>
          <w:tcPr>
            <w:tcW w:type="dxa" w:w="4320"/>
          </w:tcPr>
          <w:p>
            <w:r/>
            <w:r>
              <w:rPr>
                <w:sz w:val="18"/>
              </w:rPr>
              <w:t>Date</w:t>
            </w:r>
          </w:p>
        </w:tc>
        <w:tc>
          <w:tcPr>
            <w:tcW w:type="dxa" w:w="4320"/>
          </w:tcPr>
          <w:p>
            <w:r/>
            <w:r>
              <w:rPr>
                <w:sz w:val="18"/>
              </w:rPr>
              <w:t>2026-09-15</w:t>
            </w:r>
          </w:p>
        </w:tc>
      </w:tr>
      <w:tr>
        <w:tc>
          <w:tcPr>
            <w:tcW w:type="dxa" w:w="4320"/>
          </w:tcPr>
          <w:p>
            <w:r/>
            <w:r>
              <w:rPr>
                <w:sz w:val="18"/>
              </w:rPr>
              <w:t>Author</w:t>
            </w:r>
          </w:p>
        </w:tc>
        <w:tc>
          <w:tcPr>
            <w:tcW w:type="dxa" w:w="4320"/>
          </w:tcPr>
          <w:p>
            <w:r/>
            <w:r>
              <w:rPr>
                <w:sz w:val="18"/>
              </w:rPr>
              <w:t>Henok Zemedkun (Person 2 — Test Architect &amp; Document Author)</w:t>
            </w:r>
          </w:p>
        </w:tc>
      </w:tr>
      <w:tr>
        <w:tc>
          <w:tcPr>
            <w:tcW w:type="dxa" w:w="4320"/>
          </w:tcPr>
          <w:p>
            <w:r/>
            <w:r>
              <w:rPr>
                <w:sz w:val="18"/>
              </w:rPr>
              <w:t>Basis</w:t>
            </w:r>
          </w:p>
        </w:tc>
        <w:tc>
          <w:tcPr>
            <w:tcW w:type="dxa" w:w="4320"/>
          </w:tcPr>
          <w:p>
            <w:r/>
            <w:r>
              <w:rPr>
                <w:color w:val="1A4FA0"/>
                <w:sz w:val="18"/>
                <w:u w:val="single"/>
              </w:rPr>
              <w:t>`test_plan.md`</w:t>
            </w:r>
            <w:r>
              <w:rPr>
                <w:sz w:val="18"/>
              </w:rPr>
              <w:t xml:space="preserve">, </w:t>
            </w:r>
            <w:r>
              <w:rPr>
                <w:color w:val="1A4FA0"/>
                <w:sz w:val="18"/>
                <w:u w:val="single"/>
              </w:rPr>
              <w:t>`test_design.md`</w:t>
            </w:r>
            <w:r>
              <w:rPr>
                <w:sz w:val="18"/>
              </w:rPr>
              <w:t xml:space="preserve">, </w:t>
            </w:r>
            <w:r>
              <w:rPr>
                <w:rFonts w:ascii="Consolas" w:hAnsi="Consolas"/>
                <w:color w:val="B03060"/>
                <w:sz w:val="18"/>
              </w:rPr>
              <w:t>defect_log.csv</w:t>
            </w:r>
            <w:r>
              <w:rPr>
                <w:sz w:val="18"/>
              </w:rPr>
              <w:t xml:space="preserve">, </w:t>
            </w:r>
            <w:r>
              <w:rPr>
                <w:rFonts w:ascii="Consolas" w:hAnsi="Consolas"/>
                <w:color w:val="B03060"/>
                <w:sz w:val="18"/>
              </w:rPr>
              <w:t>metrics.json</w:t>
            </w:r>
          </w:p>
        </w:tc>
      </w:tr>
    </w:tbl>
    <w:p/>
    <w:p>
      <w:pPr>
        <w:pStyle w:val="Heading2"/>
      </w:pPr>
      <w:r>
        <w:t>Team Members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Name</w:t>
            </w:r>
          </w:p>
        </w:tc>
        <w:tc>
          <w:tcPr>
            <w:tcW w:type="dxa" w:w="2880"/>
          </w:tcPr>
          <w:p>
            <w:r/>
            <w:r>
              <w:rPr>
                <w:b/>
                <w:sz w:val="18"/>
              </w:rPr>
              <w:t>Student ID</w:t>
            </w:r>
          </w:p>
        </w:tc>
        <w:tc>
          <w:tcPr>
            <w:tcW w:type="dxa" w:w="2880"/>
          </w:tcPr>
          <w:p>
            <w:r/>
            <w:r>
              <w:rPr>
                <w:b/>
                <w:sz w:val="18"/>
              </w:rPr>
              <w:t>Role</w:t>
            </w:r>
          </w:p>
        </w:tc>
      </w:tr>
      <w:tr>
        <w:tc>
          <w:tcPr>
            <w:tcW w:type="dxa" w:w="2880"/>
          </w:tcPr>
          <w:p>
            <w:r/>
            <w:r>
              <w:rPr>
                <w:sz w:val="18"/>
              </w:rPr>
              <w:t>Fitsum Yoseph</w:t>
            </w:r>
          </w:p>
        </w:tc>
        <w:tc>
          <w:tcPr>
            <w:tcW w:type="dxa" w:w="2880"/>
          </w:tcPr>
          <w:p>
            <w:r/>
            <w:r>
              <w:rPr>
                <w:sz w:val="18"/>
              </w:rPr>
              <w:t>ATE/5804/16</w:t>
            </w:r>
          </w:p>
        </w:tc>
        <w:tc>
          <w:tcPr>
            <w:tcW w:type="dxa" w:w="2880"/>
          </w:tcPr>
          <w:p>
            <w:r/>
            <w:r>
              <w:rPr>
                <w:sz w:val="18"/>
              </w:rPr>
              <w:t>Person 1 — Application Developer</w:t>
            </w:r>
          </w:p>
        </w:tc>
      </w:tr>
      <w:tr>
        <w:tc>
          <w:tcPr>
            <w:tcW w:type="dxa" w:w="2880"/>
          </w:tcPr>
          <w:p>
            <w:r/>
            <w:r>
              <w:rPr>
                <w:sz w:val="18"/>
              </w:rPr>
              <w:t>Henok Zemedkun</w:t>
            </w:r>
          </w:p>
        </w:tc>
        <w:tc>
          <w:tcPr>
            <w:tcW w:type="dxa" w:w="2880"/>
          </w:tcPr>
          <w:p>
            <w:r/>
            <w:r>
              <w:rPr>
                <w:sz w:val="18"/>
              </w:rPr>
              <w:t>ATE/8552/16</w:t>
            </w:r>
          </w:p>
        </w:tc>
        <w:tc>
          <w:tcPr>
            <w:tcW w:type="dxa" w:w="2880"/>
          </w:tcPr>
          <w:p>
            <w:r/>
            <w:r>
              <w:rPr>
                <w:sz w:val="18"/>
              </w:rPr>
              <w:t>Person 2 — Test Architect &amp; Document Author</w:t>
            </w:r>
          </w:p>
        </w:tc>
      </w:tr>
      <w:tr>
        <w:tc>
          <w:tcPr>
            <w:tcW w:type="dxa" w:w="2880"/>
          </w:tcPr>
          <w:p>
            <w:r/>
            <w:r>
              <w:rPr>
                <w:sz w:val="18"/>
              </w:rPr>
              <w:t>Eyob Kassaye</w:t>
            </w:r>
          </w:p>
        </w:tc>
        <w:tc>
          <w:tcPr>
            <w:tcW w:type="dxa" w:w="2880"/>
          </w:tcPr>
          <w:p>
            <w:r/>
            <w:r>
              <w:rPr>
                <w:sz w:val="18"/>
              </w:rPr>
              <w:t>ATE/4534/16</w:t>
            </w:r>
          </w:p>
        </w:tc>
        <w:tc>
          <w:tcPr>
            <w:tcW w:type="dxa" w:w="2880"/>
          </w:tcPr>
          <w:p>
            <w:r/>
            <w:r>
              <w:rPr>
                <w:sz w:val="18"/>
              </w:rPr>
              <w:t>Person 3 — Test Automation Engineer &amp; CI/CD</w:t>
            </w:r>
          </w:p>
        </w:tc>
      </w:tr>
    </w:tbl>
    <w:p/>
    <w:p>
      <w:r>
        <w:br w:type="page"/>
      </w:r>
    </w:p>
    <w:p>
      <w:pPr>
        <w:pStyle w:val="Heading1"/>
      </w:pPr>
      <w:r>
        <w:t>1. Summary</w:t>
      </w:r>
    </w:p>
    <w:p>
      <w:r>
        <w:t xml:space="preserve">116 test cases were designed from four black-box techniques and realised as 152 automated pytest tests. All 152 executed. 147 passed. The 5 that failed are deliberate defect reproducers, one for each of the five defects recorded in </w:t>
      </w:r>
      <w:r>
        <w:rPr>
          <w:rFonts w:ascii="Consolas" w:hAnsi="Consolas"/>
          <w:color w:val="B03060"/>
        </w:rPr>
        <w:t>defect_log.csv</w:t>
      </w:r>
      <w:r>
        <w:t>.</w:t>
      </w:r>
    </w:p>
    <w:p>
      <w:r>
        <w:t xml:space="preserve">Statement coverage of </w:t>
      </w:r>
      <w:r>
        <w:rPr>
          <w:rFonts w:ascii="Consolas" w:hAnsi="Consolas"/>
          <w:color w:val="B03060"/>
        </w:rPr>
        <w:t>app/</w:t>
      </w:r>
      <w:r>
        <w:t xml:space="preserve"> reached </w:t>
      </w:r>
      <w:r>
        <w:rPr>
          <w:b/>
        </w:rPr>
        <w:t>98.37%</w:t>
      </w:r>
      <w:r>
        <w:t xml:space="preserve"> and branch coverage </w:t>
      </w:r>
      <w:r>
        <w:rPr>
          <w:b/>
        </w:rPr>
        <w:t>94.87%</w:t>
      </w:r>
      <w:r>
        <w:t xml:space="preserve">; the core rule engine </w:t>
      </w:r>
      <w:r>
        <w:rPr>
          <w:rFonts w:ascii="Consolas" w:hAnsi="Consolas"/>
          <w:color w:val="B03060"/>
        </w:rPr>
        <w:t>app/business_logic.py</w:t>
      </w:r>
      <w:r>
        <w:t xml:space="preserve"> reached </w:t>
      </w:r>
      <w:r>
        <w:rPr>
          <w:b/>
        </w:rPr>
        <w:t>100%</w:t>
      </w:r>
      <w:r>
        <w:t xml:space="preserve"> on both, against an 80% target.</w:t>
      </w:r>
    </w:p>
    <w:p>
      <w:r>
        <w:rPr>
          <w:b/>
        </w:rPr>
        <w:t>Nine of the ten exit criteria are met. The one that is not — zero open Critical defects — is not met, and it is the criterion that governs release.</w:t>
      </w:r>
      <w:r>
        <w:t xml:space="preserve"> Two defects corrupt the leave balance: one lets an employee mint leave days out of nothing, the other lets an administrator grant double the annual entitlement. The recommendation below is therefore </w:t>
      </w:r>
      <w:r>
        <w:rPr>
          <w:b/>
        </w:rPr>
        <w:t>no-go for release</w:t>
      </w:r>
      <w:r>
        <w:t xml:space="preserve"> until those two are fixed and retested.</w:t>
      </w:r>
    </w:p>
    <w:p>
      <w:pPr>
        <w:pStyle w:val="Heading1"/>
      </w:pPr>
      <w:r>
        <w:t>2. What Was Tested</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Area</w:t>
            </w:r>
          </w:p>
        </w:tc>
        <w:tc>
          <w:tcPr>
            <w:tcW w:type="dxa" w:w="2160"/>
          </w:tcPr>
          <w:p>
            <w:r/>
            <w:r>
              <w:rPr>
                <w:b/>
                <w:sz w:val="18"/>
              </w:rPr>
              <w:t>Technique(s)</w:t>
            </w:r>
          </w:p>
        </w:tc>
        <w:tc>
          <w:tcPr>
            <w:tcW w:type="dxa" w:w="2160"/>
          </w:tcPr>
          <w:p>
            <w:r/>
            <w:r>
              <w:rPr>
                <w:b/>
                <w:sz w:val="18"/>
              </w:rPr>
              <w:t>Cases</w:t>
            </w:r>
          </w:p>
        </w:tc>
        <w:tc>
          <w:tcPr>
            <w:tcW w:type="dxa" w:w="2160"/>
          </w:tcPr>
          <w:p>
            <w:r/>
            <w:r>
              <w:rPr>
                <w:b/>
                <w:sz w:val="18"/>
              </w:rPr>
              <w:t>Outcome</w:t>
            </w:r>
          </w:p>
        </w:tc>
      </w:tr>
      <w:tr>
        <w:tc>
          <w:tcPr>
            <w:tcW w:type="dxa" w:w="2160"/>
          </w:tcPr>
          <w:p>
            <w:r/>
            <w:r>
              <w:rPr>
                <w:sz w:val="18"/>
              </w:rPr>
              <w:t>Leave type validation (BR-3)</w:t>
            </w:r>
          </w:p>
        </w:tc>
        <w:tc>
          <w:tcPr>
            <w:tcW w:type="dxa" w:w="2160"/>
          </w:tcPr>
          <w:p>
            <w:r/>
            <w:r>
              <w:rPr>
                <w:sz w:val="18"/>
              </w:rPr>
              <w:t>EP, decision table</w:t>
            </w:r>
          </w:p>
        </w:tc>
        <w:tc>
          <w:tcPr>
            <w:tcW w:type="dxa" w:w="2160"/>
          </w:tcPr>
          <w:p>
            <w:r/>
            <w:r>
              <w:rPr>
                <w:sz w:val="18"/>
              </w:rPr>
              <w:t>EP-07–12, DT-01, DT-02</w:t>
            </w:r>
          </w:p>
        </w:tc>
        <w:tc>
          <w:tcPr>
            <w:tcW w:type="dxa" w:w="2160"/>
          </w:tcPr>
          <w:p>
            <w:r/>
            <w:r>
              <w:rPr>
                <w:sz w:val="18"/>
              </w:rPr>
              <w:t>Pass. The type list is enforced and case-sensitive; the check correctly precedes all others.</w:t>
            </w:r>
          </w:p>
        </w:tc>
      </w:tr>
      <w:tr>
        <w:tc>
          <w:tcPr>
            <w:tcW w:type="dxa" w:w="2160"/>
          </w:tcPr>
          <w:p>
            <w:r/>
            <w:r>
              <w:rPr>
                <w:sz w:val="18"/>
              </w:rPr>
              <w:t>Day range 1–30 (BR-2)</w:t>
            </w:r>
          </w:p>
        </w:tc>
        <w:tc>
          <w:tcPr>
            <w:tcW w:type="dxa" w:w="2160"/>
          </w:tcPr>
          <w:p>
            <w:r/>
            <w:r>
              <w:rPr>
                <w:sz w:val="18"/>
              </w:rPr>
              <w:t>EP, BVA, decision table</w:t>
            </w:r>
          </w:p>
        </w:tc>
        <w:tc>
          <w:tcPr>
            <w:tcW w:type="dxa" w:w="2160"/>
          </w:tcPr>
          <w:p>
            <w:r/>
            <w:r>
              <w:rPr>
                <w:sz w:val="18"/>
              </w:rPr>
              <w:t>EP-01–06, BVA-01–06, BVA-26–27, DT-03–06</w:t>
            </w:r>
          </w:p>
        </w:tc>
        <w:tc>
          <w:tcPr>
            <w:tcW w:type="dxa" w:w="2160"/>
          </w:tcPr>
          <w:p>
            <w:r/>
            <w:r>
              <w:rPr>
                <w:sz w:val="18"/>
              </w:rPr>
              <w:t>Pass at every boundary (0/1/2, 29/30/31). One type-guard weakness found — DEF-003.</w:t>
            </w:r>
          </w:p>
        </w:tc>
      </w:tr>
      <w:tr>
        <w:tc>
          <w:tcPr>
            <w:tcW w:type="dxa" w:w="2160"/>
          </w:tcPr>
          <w:p>
            <w:r/>
            <w:r>
              <w:rPr>
                <w:sz w:val="18"/>
              </w:rPr>
              <w:t>Six-month service rule (BR-1)</w:t>
            </w:r>
          </w:p>
        </w:tc>
        <w:tc>
          <w:tcPr>
            <w:tcW w:type="dxa" w:w="2160"/>
          </w:tcPr>
          <w:p>
            <w:r/>
            <w:r>
              <w:rPr>
                <w:sz w:val="18"/>
              </w:rPr>
              <w:t>EP, BVA, decision table</w:t>
            </w:r>
          </w:p>
        </w:tc>
        <w:tc>
          <w:tcPr>
            <w:tcW w:type="dxa" w:w="2160"/>
          </w:tcPr>
          <w:p>
            <w:r/>
            <w:r>
              <w:rPr>
                <w:sz w:val="18"/>
              </w:rPr>
              <w:t>EP-13–15, BVA-07–11, DT-07, DT-08</w:t>
            </w:r>
          </w:p>
        </w:tc>
        <w:tc>
          <w:tcPr>
            <w:tcW w:type="dxa" w:w="2160"/>
          </w:tcPr>
          <w:p>
            <w:r/>
            <w:r>
              <w:rPr>
                <w:sz w:val="18"/>
              </w:rPr>
              <w:t>Pass at 5/6/7 months. A month-end arithmetic fault found — DEF-004.</w:t>
            </w:r>
          </w:p>
        </w:tc>
      </w:tr>
      <w:tr>
        <w:tc>
          <w:tcPr>
            <w:tcW w:type="dxa" w:w="2160"/>
          </w:tcPr>
          <w:p>
            <w:r/>
            <w:r>
              <w:rPr>
                <w:sz w:val="18"/>
              </w:rPr>
              <w:t>Balance sufficiency (BR-4)</w:t>
            </w:r>
          </w:p>
        </w:tc>
        <w:tc>
          <w:tcPr>
            <w:tcW w:type="dxa" w:w="2160"/>
          </w:tcPr>
          <w:p>
            <w:r/>
            <w:r>
              <w:rPr>
                <w:sz w:val="18"/>
              </w:rPr>
              <w:t>EP, BVA, decision table</w:t>
            </w:r>
          </w:p>
        </w:tc>
        <w:tc>
          <w:tcPr>
            <w:tcW w:type="dxa" w:w="2160"/>
          </w:tcPr>
          <w:p>
            <w:r/>
            <w:r>
              <w:rPr>
                <w:sz w:val="18"/>
              </w:rPr>
              <w:t>EP-16–18, BVA-16–19, DT-09, DT-10, DT-21</w:t>
            </w:r>
          </w:p>
        </w:tc>
        <w:tc>
          <w:tcPr>
            <w:tcW w:type="dxa" w:w="2160"/>
          </w:tcPr>
          <w:p>
            <w:r/>
            <w:r>
              <w:rPr>
                <w:sz w:val="18"/>
              </w:rPr>
              <w:t>Pass at unit level, including the missing-balance-record case. Fails at approval time — DEF-002.</w:t>
            </w:r>
          </w:p>
        </w:tc>
      </w:tr>
      <w:tr>
        <w:tc>
          <w:tcPr>
            <w:tcW w:type="dxa" w:w="2160"/>
          </w:tcPr>
          <w:p>
            <w:r/>
            <w:r>
              <w:rPr>
                <w:sz w:val="18"/>
              </w:rPr>
              <w:t>Sick-leave document rule (BR-5)</w:t>
            </w:r>
          </w:p>
        </w:tc>
        <w:tc>
          <w:tcPr>
            <w:tcW w:type="dxa" w:w="2160"/>
          </w:tcPr>
          <w:p>
            <w:r/>
            <w:r>
              <w:rPr>
                <w:sz w:val="18"/>
              </w:rPr>
              <w:t>EP, BVA, decision table</w:t>
            </w:r>
          </w:p>
        </w:tc>
        <w:tc>
          <w:tcPr>
            <w:tcW w:type="dxa" w:w="2160"/>
          </w:tcPr>
          <w:p>
            <w:r/>
            <w:r>
              <w:rPr>
                <w:sz w:val="18"/>
              </w:rPr>
              <w:t>EP-19–21, BVA-12–15, DT-11, DT-12, DT-16–18</w:t>
            </w:r>
          </w:p>
        </w:tc>
        <w:tc>
          <w:tcPr>
            <w:tcW w:type="dxa" w:w="2160"/>
          </w:tcPr>
          <w:p>
            <w:r/>
            <w:r>
              <w:rPr>
                <w:sz w:val="18"/>
              </w:rPr>
              <w:t xml:space="preserve">Pass. The 3-versus-4-day boundary is correct, and </w:t>
            </w:r>
            <w:r>
              <w:rPr>
                <w:rFonts w:ascii="Consolas" w:hAnsi="Consolas"/>
                <w:color w:val="B03060"/>
                <w:sz w:val="18"/>
              </w:rPr>
              <w:t>has_document</w:t>
            </w:r>
            <w:r>
              <w:rPr>
                <w:sz w:val="18"/>
              </w:rPr>
              <w:t xml:space="preserve"> is properly ignored when the rule does not apply.</w:t>
            </w:r>
          </w:p>
        </w:tc>
      </w:tr>
      <w:tr>
        <w:tc>
          <w:tcPr>
            <w:tcW w:type="dxa" w:w="2160"/>
          </w:tcPr>
          <w:p>
            <w:r/>
            <w:r>
              <w:rPr>
                <w:sz w:val="18"/>
              </w:rPr>
              <w:t>Date validation (BR-6)</w:t>
            </w:r>
          </w:p>
        </w:tc>
        <w:tc>
          <w:tcPr>
            <w:tcW w:type="dxa" w:w="2160"/>
          </w:tcPr>
          <w:p>
            <w:r/>
            <w:r>
              <w:rPr>
                <w:sz w:val="18"/>
              </w:rPr>
              <w:t>EP, BVA</w:t>
            </w:r>
          </w:p>
        </w:tc>
        <w:tc>
          <w:tcPr>
            <w:tcW w:type="dxa" w:w="2160"/>
          </w:tcPr>
          <w:p>
            <w:r/>
            <w:r>
              <w:rPr>
                <w:sz w:val="18"/>
              </w:rPr>
              <w:t>EP-22–26, BVA-20–25</w:t>
            </w:r>
          </w:p>
        </w:tc>
        <w:tc>
          <w:tcPr>
            <w:tcW w:type="dxa" w:w="2160"/>
          </w:tcPr>
          <w:p>
            <w:r/>
            <w:r>
              <w:rPr>
                <w:sz w:val="18"/>
              </w:rPr>
              <w:t>Pass. Malformed, past and inverted ranges are all rejected; day counting is inclusive.</w:t>
            </w:r>
          </w:p>
        </w:tc>
      </w:tr>
      <w:tr>
        <w:tc>
          <w:tcPr>
            <w:tcW w:type="dxa" w:w="2160"/>
          </w:tcPr>
          <w:p>
            <w:r/>
            <w:r>
              <w:rPr>
                <w:sz w:val="18"/>
              </w:rPr>
              <w:t>Rule precedence</w:t>
            </w:r>
          </w:p>
        </w:tc>
        <w:tc>
          <w:tcPr>
            <w:tcW w:type="dxa" w:w="2160"/>
          </w:tcPr>
          <w:p>
            <w:r/>
            <w:r>
              <w:rPr>
                <w:sz w:val="18"/>
              </w:rPr>
              <w:t>Decision table</w:t>
            </w:r>
          </w:p>
        </w:tc>
        <w:tc>
          <w:tcPr>
            <w:tcW w:type="dxa" w:w="2160"/>
          </w:tcPr>
          <w:p>
            <w:r/>
            <w:r>
              <w:rPr>
                <w:sz w:val="18"/>
              </w:rPr>
              <w:t>DT-02, DT-04, DT-06, DT-08, DT-10</w:t>
            </w:r>
          </w:p>
        </w:tc>
        <w:tc>
          <w:tcPr>
            <w:tcW w:type="dxa" w:w="2160"/>
          </w:tcPr>
          <w:p>
            <w:r/>
            <w:r>
              <w:rPr>
                <w:sz w:val="18"/>
              </w:rPr>
              <w:t>Pass. The five conditions are evaluated in the documented order, so the user always sees the most relevant refusal message.</w:t>
            </w:r>
          </w:p>
        </w:tc>
      </w:tr>
      <w:tr>
        <w:tc>
          <w:tcPr>
            <w:tcW w:type="dxa" w:w="2160"/>
          </w:tcPr>
          <w:p>
            <w:r/>
            <w:r>
              <w:rPr>
                <w:sz w:val="18"/>
              </w:rPr>
              <w:t>State machine, all 25 ordered pairs (BR-7)</w:t>
            </w:r>
          </w:p>
        </w:tc>
        <w:tc>
          <w:tcPr>
            <w:tcW w:type="dxa" w:w="2160"/>
          </w:tcPr>
          <w:p>
            <w:r/>
            <w:r>
              <w:rPr>
                <w:sz w:val="18"/>
              </w:rPr>
              <w:t>State transition</w:t>
            </w:r>
          </w:p>
        </w:tc>
        <w:tc>
          <w:tcPr>
            <w:tcW w:type="dxa" w:w="2160"/>
          </w:tcPr>
          <w:p>
            <w:r/>
            <w:r>
              <w:rPr>
                <w:sz w:val="18"/>
              </w:rPr>
              <w:t>ST-V01–V05, ST-I01–I20</w:t>
            </w:r>
          </w:p>
        </w:tc>
        <w:tc>
          <w:tcPr>
            <w:tcW w:type="dxa" w:w="2160"/>
          </w:tcPr>
          <w:p>
            <w:r/>
            <w:r>
              <w:rPr>
                <w:sz w:val="18"/>
              </w:rPr>
              <w:t>Pass. The 5 permitted transitions work and persist; the 20 forbidden ones are refused with a specific message and leave the stored row untouched.</w:t>
            </w:r>
          </w:p>
        </w:tc>
      </w:tr>
      <w:tr>
        <w:tc>
          <w:tcPr>
            <w:tcW w:type="dxa" w:w="2160"/>
          </w:tcPr>
          <w:p>
            <w:r/>
            <w:r>
              <w:rPr>
                <w:sz w:val="18"/>
              </w:rPr>
              <w:t>Terminal-state property</w:t>
            </w:r>
          </w:p>
        </w:tc>
        <w:tc>
          <w:tcPr>
            <w:tcW w:type="dxa" w:w="2160"/>
          </w:tcPr>
          <w:p>
            <w:r/>
            <w:r>
              <w:rPr>
                <w:sz w:val="18"/>
              </w:rPr>
              <w:t>State transition</w:t>
            </w:r>
          </w:p>
        </w:tc>
        <w:tc>
          <w:tcPr>
            <w:tcW w:type="dxa" w:w="2160"/>
          </w:tcPr>
          <w:p>
            <w:r/>
            <w:r>
              <w:rPr>
                <w:sz w:val="18"/>
              </w:rPr>
              <w:t>ST-I06–I20</w:t>
            </w:r>
          </w:p>
        </w:tc>
        <w:tc>
          <w:tcPr>
            <w:tcW w:type="dxa" w:w="2160"/>
          </w:tcPr>
          <w:p>
            <w:r/>
            <w:r>
              <w:rPr>
                <w:sz w:val="18"/>
              </w:rPr>
              <w:t xml:space="preserve">Pass. </w:t>
            </w:r>
            <w:r>
              <w:rPr>
                <w:rFonts w:ascii="Consolas" w:hAnsi="Consolas"/>
                <w:color w:val="B03060"/>
                <w:sz w:val="18"/>
              </w:rPr>
              <w:t>Rejected</w:t>
            </w:r>
            <w:r>
              <w:rPr>
                <w:sz w:val="18"/>
              </w:rPr>
              <w:t xml:space="preserve">, </w:t>
            </w:r>
            <w:r>
              <w:rPr>
                <w:rFonts w:ascii="Consolas" w:hAnsi="Consolas"/>
                <w:color w:val="B03060"/>
                <w:sz w:val="18"/>
              </w:rPr>
              <w:t>Cancelled</w:t>
            </w:r>
            <w:r>
              <w:rPr>
                <w:sz w:val="18"/>
              </w:rPr>
              <w:t xml:space="preserve"> and </w:t>
            </w:r>
            <w:r>
              <w:rPr>
                <w:rFonts w:ascii="Consolas" w:hAnsi="Consolas"/>
                <w:color w:val="B03060"/>
                <w:sz w:val="18"/>
              </w:rPr>
              <w:t>Taken</w:t>
            </w:r>
            <w:r>
              <w:rPr>
                <w:sz w:val="18"/>
              </w:rPr>
              <w:t xml:space="preserve"> accept no outgoing transition.</w:t>
            </w:r>
          </w:p>
        </w:tc>
      </w:tr>
      <w:tr>
        <w:tc>
          <w:tcPr>
            <w:tcW w:type="dxa" w:w="2160"/>
          </w:tcPr>
          <w:p>
            <w:r/>
            <w:r>
              <w:rPr>
                <w:sz w:val="18"/>
              </w:rPr>
              <w:t>Guard consistency</w:t>
            </w:r>
          </w:p>
        </w:tc>
        <w:tc>
          <w:tcPr>
            <w:tcW w:type="dxa" w:w="2160"/>
          </w:tcPr>
          <w:p>
            <w:r/>
            <w:r>
              <w:rPr>
                <w:sz w:val="18"/>
              </w:rPr>
              <w:t>State transition</w:t>
            </w:r>
          </w:p>
        </w:tc>
        <w:tc>
          <w:tcPr>
            <w:tcW w:type="dxa" w:w="2160"/>
          </w:tcPr>
          <w:p>
            <w:r/>
            <w:r>
              <w:rPr>
                <w:sz w:val="18"/>
              </w:rPr>
              <w:t>ST-R11</w:t>
            </w:r>
          </w:p>
        </w:tc>
        <w:tc>
          <w:tcPr>
            <w:tcW w:type="dxa" w:w="2160"/>
          </w:tcPr>
          <w:p>
            <w:r/>
            <w:r>
              <w:rPr>
                <w:sz w:val="18"/>
              </w:rPr>
              <w:t xml:space="preserve">Pass. </w:t>
            </w:r>
            <w:r>
              <w:rPr>
                <w:rFonts w:ascii="Consolas" w:hAnsi="Consolas"/>
                <w:color w:val="B03060"/>
                <w:sz w:val="18"/>
              </w:rPr>
              <w:t>can_transition_to</w:t>
            </w:r>
            <w:r>
              <w:rPr>
                <w:sz w:val="18"/>
              </w:rPr>
              <w:t xml:space="preserve"> agrees with </w:t>
            </w:r>
            <w:r>
              <w:rPr>
                <w:rFonts w:ascii="Consolas" w:hAnsi="Consolas"/>
                <w:color w:val="B03060"/>
                <w:sz w:val="18"/>
              </w:rPr>
              <w:t>update_status</w:t>
            </w:r>
            <w:r>
              <w:rPr>
                <w:sz w:val="18"/>
              </w:rPr>
              <w:t xml:space="preserve"> on all 25 pairs, so the guard cannot be bypassed.</w:t>
            </w:r>
          </w:p>
        </w:tc>
      </w:tr>
      <w:tr>
        <w:tc>
          <w:tcPr>
            <w:tcW w:type="dxa" w:w="2160"/>
          </w:tcPr>
          <w:p>
            <w:r/>
            <w:r>
              <w:rPr>
                <w:sz w:val="18"/>
              </w:rPr>
              <w:t>Balance arithmetic along each path (BR-8)</w:t>
            </w:r>
          </w:p>
        </w:tc>
        <w:tc>
          <w:tcPr>
            <w:tcW w:type="dxa" w:w="2160"/>
          </w:tcPr>
          <w:p>
            <w:r/>
            <w:r>
              <w:rPr>
                <w:sz w:val="18"/>
              </w:rPr>
              <w:t>State transition</w:t>
            </w:r>
          </w:p>
        </w:tc>
        <w:tc>
          <w:tcPr>
            <w:tcW w:type="dxa" w:w="2160"/>
          </w:tcPr>
          <w:p>
            <w:r/>
            <w:r>
              <w:rPr>
                <w:sz w:val="18"/>
              </w:rPr>
              <w:t>ST-R04–R06</w:t>
            </w:r>
          </w:p>
        </w:tc>
        <w:tc>
          <w:tcPr>
            <w:tcW w:type="dxa" w:w="2160"/>
          </w:tcPr>
          <w:p>
            <w:r/>
            <w:r>
              <w:rPr>
                <w:sz w:val="18"/>
              </w:rPr>
              <w:t>Pass on the approve and approve-then-cancel paths. Fails on the cancel-from-Requested path — DEF-001.</w:t>
            </w:r>
          </w:p>
        </w:tc>
      </w:tr>
      <w:tr>
        <w:tc>
          <w:tcPr>
            <w:tcW w:type="dxa" w:w="2160"/>
          </w:tcPr>
          <w:p>
            <w:r/>
            <w:r>
              <w:rPr>
                <w:sz w:val="18"/>
              </w:rPr>
              <w:t>Route-level authorisation</w:t>
            </w:r>
          </w:p>
        </w:tc>
        <w:tc>
          <w:tcPr>
            <w:tcW w:type="dxa" w:w="2160"/>
          </w:tcPr>
          <w:p>
            <w:r/>
            <w:r>
              <w:rPr>
                <w:sz w:val="18"/>
              </w:rPr>
              <w:t>State transition</w:t>
            </w:r>
          </w:p>
        </w:tc>
        <w:tc>
          <w:tcPr>
            <w:tcW w:type="dxa" w:w="2160"/>
          </w:tcPr>
          <w:p>
            <w:r/>
            <w:r>
              <w:rPr>
                <w:sz w:val="18"/>
              </w:rPr>
              <w:t>ST-R09, ST-R10</w:t>
            </w:r>
          </w:p>
        </w:tc>
        <w:tc>
          <w:tcPr>
            <w:tcW w:type="dxa" w:w="2160"/>
          </w:tcPr>
          <w:p>
            <w:r/>
            <w:r>
              <w:rPr>
                <w:sz w:val="18"/>
              </w:rPr>
              <w:t>Pass. One employee cannot cancel another's request, and missing requests are handled without a 500.</w:t>
            </w:r>
          </w:p>
        </w:tc>
      </w:tr>
      <w:tr>
        <w:tc>
          <w:tcPr>
            <w:tcW w:type="dxa" w:w="2160"/>
          </w:tcPr>
          <w:p>
            <w:r/>
            <w:r>
              <w:rPr>
                <w:sz w:val="18"/>
              </w:rPr>
              <w:t xml:space="preserve">Reachability of </w:t>
            </w:r>
            <w:r>
              <w:rPr>
                <w:rFonts w:ascii="Consolas" w:hAnsi="Consolas"/>
                <w:color w:val="B03060"/>
                <w:sz w:val="18"/>
              </w:rPr>
              <w:t>Taken</w:t>
            </w:r>
          </w:p>
        </w:tc>
        <w:tc>
          <w:tcPr>
            <w:tcW w:type="dxa" w:w="2160"/>
          </w:tcPr>
          <w:p>
            <w:r/>
            <w:r>
              <w:rPr>
                <w:sz w:val="18"/>
              </w:rPr>
              <w:t>State transition</w:t>
            </w:r>
          </w:p>
        </w:tc>
        <w:tc>
          <w:tcPr>
            <w:tcW w:type="dxa" w:w="2160"/>
          </w:tcPr>
          <w:p>
            <w:r/>
            <w:r>
              <w:rPr>
                <w:sz w:val="18"/>
              </w:rPr>
              <w:t>ST-R14</w:t>
            </w:r>
          </w:p>
        </w:tc>
        <w:tc>
          <w:tcPr>
            <w:tcW w:type="dxa" w:w="2160"/>
          </w:tcPr>
          <w:p>
            <w:r/>
            <w:r>
              <w:rPr>
                <w:b/>
                <w:sz w:val="18"/>
              </w:rPr>
              <w:t>Fail</w:t>
            </w:r>
            <w:r>
              <w:rPr>
                <w:sz w:val="18"/>
              </w:rPr>
              <w:t xml:space="preserve"> — DEF-005.</w:t>
            </w:r>
          </w:p>
        </w:tc>
      </w:tr>
      <w:tr>
        <w:tc>
          <w:tcPr>
            <w:tcW w:type="dxa" w:w="2160"/>
          </w:tcPr>
          <w:p>
            <w:r/>
            <w:r>
              <w:rPr>
                <w:sz w:val="18"/>
              </w:rPr>
              <w:t>Orchestration end to end</w:t>
            </w:r>
          </w:p>
        </w:tc>
        <w:tc>
          <w:tcPr>
            <w:tcW w:type="dxa" w:w="2160"/>
          </w:tcPr>
          <w:p>
            <w:r/>
            <w:r>
              <w:rPr>
                <w:sz w:val="18"/>
              </w:rPr>
              <w:t>Decision table</w:t>
            </w:r>
          </w:p>
        </w:tc>
        <w:tc>
          <w:tcPr>
            <w:tcW w:type="dxa" w:w="2160"/>
          </w:tcPr>
          <w:p>
            <w:r/>
            <w:r>
              <w:rPr>
                <w:sz w:val="18"/>
              </w:rPr>
              <w:t>DT-22</w:t>
            </w:r>
          </w:p>
        </w:tc>
        <w:tc>
          <w:tcPr>
            <w:tcW w:type="dxa" w:w="2160"/>
          </w:tcPr>
          <w:p>
            <w:r/>
            <w:r>
              <w:rPr>
                <w:sz w:val="18"/>
              </w:rPr>
              <w:t xml:space="preserve">Pass. Every rule holds through </w:t>
            </w:r>
            <w:r>
              <w:rPr>
                <w:rFonts w:ascii="Consolas" w:hAnsi="Consolas"/>
                <w:color w:val="B03060"/>
                <w:sz w:val="18"/>
              </w:rPr>
              <w:t>process_leave_request</w:t>
            </w:r>
            <w:r>
              <w:rPr>
                <w:sz w:val="18"/>
              </w:rPr>
              <w:t>, and no request object is created for a refusing rule.</w:t>
            </w:r>
          </w:p>
        </w:tc>
      </w:tr>
    </w:tbl>
    <w:p/>
    <w:p>
      <w:pPr>
        <w:pStyle w:val="Heading1"/>
      </w:pPr>
      <w:r>
        <w:t>3. What Was Not Tested</w:t>
      </w:r>
    </w:p>
    <w:p>
      <w:pPr>
        <w:pStyle w:val="Heading2"/>
      </w:pPr>
      <w:r>
        <w:t>3.1 Excluded by the Test Plan</w:t>
      </w:r>
    </w:p>
    <w:p>
      <w:r>
        <w:t xml:space="preserve">These were declared out of scope in </w:t>
      </w:r>
      <w:r>
        <w:rPr>
          <w:rFonts w:ascii="Consolas" w:hAnsi="Consolas"/>
          <w:color w:val="B03060"/>
        </w:rPr>
        <w:t>test_plan.md</w:t>
      </w:r>
      <w:r>
        <w:t xml:space="preserve"> §3.2 and no cases were written for them. Each carries residual risk, quantified in §7.</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b/>
                <w:sz w:val="18"/>
              </w:rPr>
              <w:t>Not tested</w:t>
            </w:r>
          </w:p>
        </w:tc>
        <w:tc>
          <w:tcPr>
            <w:tcW w:type="dxa" w:w="4320"/>
          </w:tcPr>
          <w:p>
            <w:r/>
            <w:r>
              <w:rPr>
                <w:b/>
                <w:sz w:val="18"/>
              </w:rPr>
              <w:t>Reason</w:t>
            </w:r>
          </w:p>
        </w:tc>
      </w:tr>
      <w:tr>
        <w:tc>
          <w:tcPr>
            <w:tcW w:type="dxa" w:w="4320"/>
          </w:tcPr>
          <w:p>
            <w:r/>
            <w:r>
              <w:rPr>
                <w:sz w:val="18"/>
              </w:rPr>
              <w:t>Performance, load, stress</w:t>
            </w:r>
          </w:p>
        </w:tc>
        <w:tc>
          <w:tcPr>
            <w:tcW w:type="dxa" w:w="4320"/>
          </w:tcPr>
          <w:p>
            <w:r/>
            <w:r>
              <w:rPr>
                <w:sz w:val="18"/>
              </w:rPr>
              <w:t>No non-functional requirement stated.</w:t>
            </w:r>
          </w:p>
        </w:tc>
      </w:tr>
      <w:tr>
        <w:tc>
          <w:tcPr>
            <w:tcW w:type="dxa" w:w="4320"/>
          </w:tcPr>
          <w:p>
            <w:r/>
            <w:r>
              <w:rPr>
                <w:sz w:val="18"/>
              </w:rPr>
              <w:t>Security penetration — SQL injection, XSS, CSRF, session fixation</w:t>
            </w:r>
          </w:p>
        </w:tc>
        <w:tc>
          <w:tcPr>
            <w:tcW w:type="dxa" w:w="4320"/>
          </w:tcPr>
          <w:p>
            <w:r/>
            <w:r>
              <w:rPr>
                <w:sz w:val="18"/>
              </w:rPr>
              <w:t xml:space="preserve">Out of course scope. Note that no route carries a CSRF token, and every state-changing route is a bare </w:t>
            </w:r>
            <w:r>
              <w:rPr>
                <w:rFonts w:ascii="Consolas" w:hAnsi="Consolas"/>
                <w:color w:val="B03060"/>
                <w:sz w:val="18"/>
              </w:rPr>
              <w:t>POST</w:t>
            </w:r>
            <w:r>
              <w:rPr>
                <w:sz w:val="18"/>
              </w:rPr>
              <w:t>.</w:t>
            </w:r>
          </w:p>
        </w:tc>
      </w:tr>
      <w:tr>
        <w:tc>
          <w:tcPr>
            <w:tcW w:type="dxa" w:w="4320"/>
          </w:tcPr>
          <w:p>
            <w:r/>
            <w:r>
              <w:rPr>
                <w:sz w:val="18"/>
              </w:rPr>
              <w:t>Concurrency and race conditions</w:t>
            </w:r>
          </w:p>
        </w:tc>
        <w:tc>
          <w:tcPr>
            <w:tcW w:type="dxa" w:w="4320"/>
          </w:tcPr>
          <w:p>
            <w:r/>
            <w:r>
              <w:rPr>
                <w:sz w:val="18"/>
              </w:rPr>
              <w:t xml:space="preserve">No locking requirement. Two administrators approving simultaneously is untested, and the read-modify-write in </w:t>
            </w:r>
            <w:r>
              <w:rPr>
                <w:rFonts w:ascii="Consolas" w:hAnsi="Consolas"/>
                <w:color w:val="B03060"/>
                <w:sz w:val="18"/>
              </w:rPr>
              <w:t>LeaveBalance.deduct</w:t>
            </w:r>
            <w:r>
              <w:rPr>
                <w:sz w:val="18"/>
              </w:rPr>
              <w:t xml:space="preserve"> is not atomic against it.</w:t>
            </w:r>
          </w:p>
        </w:tc>
      </w:tr>
      <w:tr>
        <w:tc>
          <w:tcPr>
            <w:tcW w:type="dxa" w:w="4320"/>
          </w:tcPr>
          <w:p>
            <w:r/>
            <w:r>
              <w:rPr>
                <w:sz w:val="18"/>
              </w:rPr>
              <w:t>Cross-browser, responsive and visual rendering</w:t>
            </w:r>
          </w:p>
        </w:tc>
        <w:tc>
          <w:tcPr>
            <w:tcW w:type="dxa" w:w="4320"/>
          </w:tcPr>
          <w:p>
            <w:r/>
            <w:r>
              <w:rPr>
                <w:sz w:val="18"/>
              </w:rPr>
              <w:t>Single reference browser agreed for system tests.</w:t>
            </w:r>
          </w:p>
        </w:tc>
      </w:tr>
      <w:tr>
        <w:tc>
          <w:tcPr>
            <w:tcW w:type="dxa" w:w="4320"/>
          </w:tcPr>
          <w:p>
            <w:r/>
            <w:r>
              <w:rPr>
                <w:sz w:val="18"/>
              </w:rPr>
              <w:t>Database migration and upgrade</w:t>
            </w:r>
          </w:p>
        </w:tc>
        <w:tc>
          <w:tcPr>
            <w:tcW w:type="dxa" w:w="4320"/>
          </w:tcPr>
          <w:p>
            <w:r/>
            <w:r>
              <w:rPr>
                <w:sz w:val="18"/>
              </w:rPr>
              <w:t xml:space="preserve">The schema is created once by </w:t>
            </w:r>
            <w:r>
              <w:rPr>
                <w:rFonts w:ascii="Consolas" w:hAnsi="Consolas"/>
                <w:color w:val="B03060"/>
                <w:sz w:val="18"/>
              </w:rPr>
              <w:t>init_db</w:t>
            </w:r>
            <w:r>
              <w:rPr>
                <w:sz w:val="18"/>
              </w:rPr>
              <w:t>; no versioned migrations exist.</w:t>
            </w:r>
          </w:p>
        </w:tc>
      </w:tr>
      <w:tr>
        <w:tc>
          <w:tcPr>
            <w:tcW w:type="dxa" w:w="4320"/>
          </w:tcPr>
          <w:p>
            <w:r/>
            <w:r>
              <w:rPr>
                <w:sz w:val="18"/>
              </w:rPr>
              <w:t>Localisation, accessibility, i18n</w:t>
            </w:r>
          </w:p>
        </w:tc>
        <w:tc>
          <w:tcPr>
            <w:tcW w:type="dxa" w:w="4320"/>
          </w:tcPr>
          <w:p>
            <w:r/>
            <w:r>
              <w:rPr>
                <w:sz w:val="18"/>
              </w:rPr>
              <w:t>Not required.</w:t>
            </w:r>
          </w:p>
        </w:tc>
      </w:tr>
    </w:tbl>
    <w:p/>
    <w:p>
      <w:pPr>
        <w:pStyle w:val="Heading2"/>
      </w:pPr>
      <w:r>
        <w:t>3.2 Gaps inside the tested scope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Gap</w:t>
            </w:r>
          </w:p>
        </w:tc>
        <w:tc>
          <w:tcPr>
            <w:tcW w:type="dxa" w:w="2880"/>
          </w:tcPr>
          <w:p>
            <w:r/>
            <w:r>
              <w:rPr>
                <w:b/>
                <w:sz w:val="18"/>
              </w:rPr>
              <w:t>Location</w:t>
            </w:r>
          </w:p>
        </w:tc>
        <w:tc>
          <w:tcPr>
            <w:tcW w:type="dxa" w:w="2880"/>
          </w:tcPr>
          <w:p>
            <w:r/>
            <w:r>
              <w:rPr>
                <w:b/>
                <w:sz w:val="18"/>
              </w:rPr>
              <w:t>Assessment</w:t>
            </w:r>
          </w:p>
        </w:tc>
      </w:tr>
      <w:tr>
        <w:tc>
          <w:tcPr>
            <w:tcW w:type="dxa" w:w="2880"/>
          </w:tcPr>
          <w:p>
            <w:r/>
            <w:r>
              <w:rPr>
                <w:rFonts w:ascii="Consolas" w:hAnsi="Consolas"/>
                <w:color w:val="B03060"/>
                <w:sz w:val="18"/>
              </w:rPr>
              <w:t>admin_required</w:t>
            </w:r>
            <w:r>
              <w:rPr>
                <w:sz w:val="18"/>
              </w:rPr>
              <w:t xml:space="preserve"> when no user is logged in at all</w:t>
            </w:r>
          </w:p>
        </w:tc>
        <w:tc>
          <w:tcPr>
            <w:tcW w:type="dxa" w:w="2880"/>
          </w:tcPr>
          <w:p>
            <w:r/>
            <w:r>
              <w:rPr>
                <w:rFonts w:ascii="Consolas" w:hAnsi="Consolas"/>
                <w:color w:val="B03060"/>
                <w:sz w:val="18"/>
              </w:rPr>
              <w:t>app/auth.py:37-38</w:t>
            </w:r>
          </w:p>
        </w:tc>
        <w:tc>
          <w:tcPr>
            <w:tcW w:type="dxa" w:w="2880"/>
          </w:tcPr>
          <w:p>
            <w:r/>
            <w:r>
              <w:rPr>
                <w:sz w:val="18"/>
              </w:rPr>
              <w:t xml:space="preserve">The wrong-role branch is covered; the not-logged-in branch of the admin decorator is not. Low risk — </w:t>
            </w:r>
            <w:r>
              <w:rPr>
                <w:rFonts w:ascii="Consolas" w:hAnsi="Consolas"/>
                <w:color w:val="B03060"/>
                <w:sz w:val="18"/>
              </w:rPr>
              <w:t>login_required</w:t>
            </w:r>
            <w:r>
              <w:rPr>
                <w:sz w:val="18"/>
              </w:rPr>
              <w:t xml:space="preserve"> covers the identical branch and passes — but it belongs in Person 3's route tests.</w:t>
            </w:r>
          </w:p>
        </w:tc>
      </w:tr>
      <w:tr>
        <w:tc>
          <w:tcPr>
            <w:tcW w:type="dxa" w:w="2880"/>
          </w:tcPr>
          <w:p>
            <w:r/>
            <w:r>
              <w:rPr>
                <w:rFonts w:ascii="Consolas" w:hAnsi="Consolas"/>
                <w:color w:val="B03060"/>
                <w:sz w:val="18"/>
              </w:rPr>
              <w:t>LeaveBalance.from_row(None)</w:t>
            </w:r>
          </w:p>
        </w:tc>
        <w:tc>
          <w:tcPr>
            <w:tcW w:type="dxa" w:w="2880"/>
          </w:tcPr>
          <w:p>
            <w:r/>
            <w:r>
              <w:rPr>
                <w:rFonts w:ascii="Consolas" w:hAnsi="Consolas"/>
                <w:color w:val="B03060"/>
                <w:sz w:val="18"/>
              </w:rPr>
              <w:t>app/models.py:170</w:t>
            </w:r>
          </w:p>
        </w:tc>
        <w:tc>
          <w:tcPr>
            <w:tcW w:type="dxa" w:w="2880"/>
          </w:tcPr>
          <w:p>
            <w:r/>
            <w:r>
              <w:rPr>
                <w:sz w:val="18"/>
              </w:rPr>
              <w:t xml:space="preserve">The </w:t>
            </w:r>
            <w:r>
              <w:rPr>
                <w:rFonts w:ascii="Consolas" w:hAnsi="Consolas"/>
                <w:color w:val="B03060"/>
                <w:sz w:val="18"/>
              </w:rPr>
              <w:t>None</w:t>
            </w:r>
            <w:r>
              <w:rPr>
                <w:sz w:val="18"/>
              </w:rPr>
              <w:t xml:space="preserve">-row guard is never executed, because </w:t>
            </w:r>
            <w:r>
              <w:rPr>
                <w:rFonts w:ascii="Consolas" w:hAnsi="Consolas"/>
                <w:color w:val="B03060"/>
                <w:sz w:val="18"/>
              </w:rPr>
              <w:t>calculate_leave_balance</w:t>
            </w:r>
            <w:r>
              <w:rPr>
                <w:sz w:val="18"/>
              </w:rPr>
              <w:t xml:space="preserve"> is what handles a missing balance and that path </w:t>
            </w:r>
            <w:r>
              <w:rPr>
                <w:i/>
                <w:sz w:val="18"/>
              </w:rPr>
              <w:t>is</w:t>
            </w:r>
            <w:r>
              <w:rPr>
                <w:sz w:val="18"/>
              </w:rPr>
              <w:t xml:space="preserve"> covered (DT-09). Cosmetic.</w:t>
            </w:r>
          </w:p>
        </w:tc>
      </w:tr>
      <w:tr>
        <w:tc>
          <w:tcPr>
            <w:tcW w:type="dxa" w:w="2880"/>
          </w:tcPr>
          <w:p>
            <w:r/>
            <w:r>
              <w:rPr>
                <w:rFonts w:ascii="Consolas" w:hAnsi="Consolas"/>
                <w:color w:val="B03060"/>
                <w:sz w:val="18"/>
              </w:rPr>
              <w:t>create_app</w:t>
            </w:r>
            <w:r>
              <w:rPr>
                <w:sz w:val="18"/>
              </w:rPr>
              <w:t xml:space="preserve"> without a test config</w:t>
            </w:r>
          </w:p>
        </w:tc>
        <w:tc>
          <w:tcPr>
            <w:tcW w:type="dxa" w:w="2880"/>
          </w:tcPr>
          <w:p>
            <w:r/>
            <w:r>
              <w:rPr>
                <w:rFonts w:ascii="Consolas" w:hAnsi="Consolas"/>
                <w:color w:val="B03060"/>
                <w:sz w:val="18"/>
              </w:rPr>
              <w:t>app/__init__.py:75-&gt;78</w:t>
            </w:r>
          </w:p>
        </w:tc>
        <w:tc>
          <w:tcPr>
            <w:tcW w:type="dxa" w:w="2880"/>
          </w:tcPr>
          <w:p>
            <w:r/>
            <w:r>
              <w:rPr>
                <w:sz w:val="18"/>
              </w:rPr>
              <w:t>The production configuration branch is never taken under test, by construction. Accepted.</w:t>
            </w:r>
          </w:p>
        </w:tc>
      </w:tr>
      <w:tr>
        <w:tc>
          <w:tcPr>
            <w:tcW w:type="dxa" w:w="2880"/>
          </w:tcPr>
          <w:p>
            <w:r/>
            <w:r>
              <w:rPr>
                <w:rFonts w:ascii="Consolas" w:hAnsi="Consolas"/>
                <w:color w:val="B03060"/>
                <w:sz w:val="18"/>
              </w:rPr>
              <w:t>routes.py:97-&gt;100</w:t>
            </w:r>
            <w:r>
              <w:rPr>
                <w:sz w:val="18"/>
              </w:rPr>
              <w:t xml:space="preserve"> partial branch</w:t>
            </w:r>
          </w:p>
        </w:tc>
        <w:tc>
          <w:tcPr>
            <w:tcW w:type="dxa" w:w="2880"/>
          </w:tcPr>
          <w:p>
            <w:r/>
            <w:r>
              <w:rPr>
                <w:rFonts w:ascii="Consolas" w:hAnsi="Consolas"/>
                <w:color w:val="B03060"/>
                <w:sz w:val="18"/>
              </w:rPr>
              <w:t>app/routes.py</w:t>
            </w:r>
          </w:p>
        </w:tc>
        <w:tc>
          <w:tcPr>
            <w:tcW w:type="dxa" w:w="2880"/>
          </w:tcPr>
          <w:p>
            <w:r/>
            <w:r>
              <w:rPr>
                <w:b/>
                <w:sz w:val="18"/>
              </w:rPr>
              <w:t>Not coverable.</w:t>
            </w:r>
            <w:r>
              <w:rPr>
                <w:sz w:val="18"/>
              </w:rPr>
              <w:t xml:space="preserve"> The guard tests </w:t>
            </w:r>
            <w:r>
              <w:rPr>
                <w:rFonts w:ascii="Consolas" w:hAnsi="Consolas"/>
                <w:color w:val="B03060"/>
                <w:sz w:val="18"/>
              </w:rPr>
              <w:t>leave_req.status == 'Cancelled'</w:t>
            </w:r>
            <w:r>
              <w:rPr>
                <w:sz w:val="18"/>
              </w:rPr>
              <w:t xml:space="preserve"> </w:t>
            </w:r>
            <w:r>
              <w:rPr>
                <w:i/>
                <w:sz w:val="18"/>
              </w:rPr>
              <w:t>after</w:t>
            </w:r>
            <w:r>
              <w:rPr>
                <w:sz w:val="18"/>
              </w:rPr>
              <w:t xml:space="preserve"> </w:t>
            </w:r>
            <w:r>
              <w:rPr>
                <w:rFonts w:ascii="Consolas" w:hAnsi="Consolas"/>
                <w:color w:val="B03060"/>
                <w:sz w:val="18"/>
              </w:rPr>
              <w:t>update_status</w:t>
            </w:r>
            <w:r>
              <w:rPr>
                <w:sz w:val="18"/>
              </w:rPr>
              <w:t xml:space="preserve"> has already set it, so the false arm is unreachable. This unreachable branch is precisely the fault behind DEF-001, and it disappears once DEF-001 is fixed.</w:t>
            </w:r>
          </w:p>
        </w:tc>
      </w:tr>
      <w:tr>
        <w:tc>
          <w:tcPr>
            <w:tcW w:type="dxa" w:w="2880"/>
          </w:tcPr>
          <w:p>
            <w:r/>
            <w:r>
              <w:rPr>
                <w:sz w:val="18"/>
              </w:rPr>
              <w:t>Selenium system tests and UAT</w:t>
            </w:r>
          </w:p>
        </w:tc>
        <w:tc>
          <w:tcPr>
            <w:tcW w:type="dxa" w:w="2880"/>
          </w:tcPr>
          <w:p>
            <w:r/>
            <w:r>
              <w:rPr>
                <w:rFonts w:ascii="Consolas" w:hAnsi="Consolas"/>
                <w:color w:val="B03060"/>
                <w:sz w:val="18"/>
              </w:rPr>
              <w:t>tests/</w:t>
            </w:r>
          </w:p>
        </w:tc>
        <w:tc>
          <w:tcPr>
            <w:tcW w:type="dxa" w:w="2880"/>
          </w:tcPr>
          <w:p>
            <w:r/>
            <w:r>
              <w:rPr>
                <w:sz w:val="18"/>
              </w:rPr>
              <w:t>Owned by Person 3 and the team; not executed at the time of this report. Exit criterion E7 for UAT is therefore not yet assessable.</w:t>
            </w:r>
          </w:p>
        </w:tc>
      </w:tr>
    </w:tbl>
    <w:p/>
    <w:p>
      <w:pPr>
        <w:pStyle w:val="Heading1"/>
      </w:pPr>
      <w:r>
        <w:t>4. Results Against Exit Criteria</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Criterion</w:t>
            </w:r>
          </w:p>
        </w:tc>
        <w:tc>
          <w:tcPr>
            <w:tcW w:type="dxa" w:w="1728"/>
          </w:tcPr>
          <w:p>
            <w:r/>
            <w:r>
              <w:rPr>
                <w:b/>
                <w:sz w:val="18"/>
              </w:rPr>
              <w:t>Target</w:t>
            </w:r>
          </w:p>
        </w:tc>
        <w:tc>
          <w:tcPr>
            <w:tcW w:type="dxa" w:w="1728"/>
          </w:tcPr>
          <w:p>
            <w:r/>
            <w:r>
              <w:rPr>
                <w:b/>
                <w:sz w:val="18"/>
              </w:rPr>
              <w:t>Actual</w:t>
            </w:r>
          </w:p>
        </w:tc>
        <w:tc>
          <w:tcPr>
            <w:tcW w:type="dxa" w:w="1728"/>
          </w:tcPr>
          <w:p>
            <w:r/>
            <w:r>
              <w:rPr>
                <w:b/>
                <w:sz w:val="18"/>
              </w:rPr>
              <w:t>Verdict</w:t>
            </w:r>
          </w:p>
        </w:tc>
      </w:tr>
      <w:tr>
        <w:tc>
          <w:tcPr>
            <w:tcW w:type="dxa" w:w="1728"/>
          </w:tcPr>
          <w:p>
            <w:r/>
            <w:r>
              <w:rPr>
                <w:sz w:val="18"/>
              </w:rPr>
              <w:t>X1</w:t>
            </w:r>
          </w:p>
        </w:tc>
        <w:tc>
          <w:tcPr>
            <w:tcW w:type="dxa" w:w="1728"/>
          </w:tcPr>
          <w:p>
            <w:r/>
            <w:r>
              <w:rPr>
                <w:sz w:val="18"/>
              </w:rPr>
              <w:t>Designed cases executed</w:t>
            </w:r>
          </w:p>
        </w:tc>
        <w:tc>
          <w:tcPr>
            <w:tcW w:type="dxa" w:w="1728"/>
          </w:tcPr>
          <w:p>
            <w:r/>
            <w:r>
              <w:rPr>
                <w:sz w:val="18"/>
              </w:rPr>
              <w:t>100%</w:t>
            </w:r>
          </w:p>
        </w:tc>
        <w:tc>
          <w:tcPr>
            <w:tcW w:type="dxa" w:w="1728"/>
          </w:tcPr>
          <w:p>
            <w:r/>
            <w:r>
              <w:rPr>
                <w:sz w:val="18"/>
              </w:rPr>
              <w:t>116 of 116 designed cases, as 152 automated tests</w:t>
            </w:r>
          </w:p>
        </w:tc>
        <w:tc>
          <w:tcPr>
            <w:tcW w:type="dxa" w:w="1728"/>
          </w:tcPr>
          <w:p>
            <w:r/>
            <w:r>
              <w:rPr>
                <w:sz w:val="18"/>
              </w:rPr>
              <w:t xml:space="preserve">✅ </w:t>
            </w:r>
            <w:r>
              <w:rPr>
                <w:b/>
                <w:sz w:val="18"/>
              </w:rPr>
              <w:t>Met</w:t>
            </w:r>
          </w:p>
        </w:tc>
      </w:tr>
      <w:tr>
        <w:tc>
          <w:tcPr>
            <w:tcW w:type="dxa" w:w="1728"/>
          </w:tcPr>
          <w:p>
            <w:r/>
            <w:r>
              <w:rPr>
                <w:sz w:val="18"/>
              </w:rPr>
              <w:t>X2</w:t>
            </w:r>
          </w:p>
        </w:tc>
        <w:tc>
          <w:tcPr>
            <w:tcW w:type="dxa" w:w="1728"/>
          </w:tcPr>
          <w:p>
            <w:r/>
            <w:r>
              <w:rPr>
                <w:sz w:val="18"/>
              </w:rPr>
              <w:t>Cases passed</w:t>
            </w:r>
          </w:p>
        </w:tc>
        <w:tc>
          <w:tcPr>
            <w:tcW w:type="dxa" w:w="1728"/>
          </w:tcPr>
          <w:p>
            <w:r/>
            <w:r>
              <w:rPr>
                <w:sz w:val="18"/>
              </w:rPr>
              <w:t>≥ 95%, every failure traced to a defect</w:t>
            </w:r>
          </w:p>
        </w:tc>
        <w:tc>
          <w:tcPr>
            <w:tcW w:type="dxa" w:w="1728"/>
          </w:tcPr>
          <w:p>
            <w:r/>
            <w:r>
              <w:rPr>
                <w:sz w:val="18"/>
              </w:rPr>
              <w:t xml:space="preserve">147 of 152 = </w:t>
            </w:r>
            <w:r>
              <w:rPr>
                <w:b/>
                <w:sz w:val="18"/>
              </w:rPr>
              <w:t>96.71%</w:t>
            </w:r>
            <w:r>
              <w:rPr>
                <w:sz w:val="18"/>
              </w:rPr>
              <w:t>; all 5 failures trace to DEF-001…DEF-005</w:t>
            </w:r>
          </w:p>
        </w:tc>
        <w:tc>
          <w:tcPr>
            <w:tcW w:type="dxa" w:w="1728"/>
          </w:tcPr>
          <w:p>
            <w:r/>
            <w:r>
              <w:rPr>
                <w:sz w:val="18"/>
              </w:rPr>
              <w:t xml:space="preserve">✅ </w:t>
            </w:r>
            <w:r>
              <w:rPr>
                <w:b/>
                <w:sz w:val="18"/>
              </w:rPr>
              <w:t>Met</w:t>
            </w:r>
          </w:p>
        </w:tc>
      </w:tr>
      <w:tr>
        <w:tc>
          <w:tcPr>
            <w:tcW w:type="dxa" w:w="1728"/>
          </w:tcPr>
          <w:p>
            <w:r/>
            <w:r>
              <w:rPr>
                <w:sz w:val="18"/>
              </w:rPr>
              <w:t>X3</w:t>
            </w:r>
          </w:p>
        </w:tc>
        <w:tc>
          <w:tcPr>
            <w:tcW w:type="dxa" w:w="1728"/>
          </w:tcPr>
          <w:p>
            <w:r/>
            <w:r>
              <w:rPr>
                <w:sz w:val="18"/>
              </w:rPr>
              <w:t xml:space="preserve">Branch coverage of </w:t>
            </w:r>
            <w:r>
              <w:rPr>
                <w:rFonts w:ascii="Consolas" w:hAnsi="Consolas"/>
                <w:color w:val="B03060"/>
                <w:sz w:val="18"/>
              </w:rPr>
              <w:t>business_logic.py</w:t>
            </w:r>
          </w:p>
        </w:tc>
        <w:tc>
          <w:tcPr>
            <w:tcW w:type="dxa" w:w="1728"/>
          </w:tcPr>
          <w:p>
            <w:r/>
            <w:r>
              <w:rPr>
                <w:sz w:val="18"/>
              </w:rPr>
              <w:t>≥ 80%</w:t>
            </w:r>
          </w:p>
        </w:tc>
        <w:tc>
          <w:tcPr>
            <w:tcW w:type="dxa" w:w="1728"/>
          </w:tcPr>
          <w:p>
            <w:r/>
            <w:r>
              <w:rPr>
                <w:b/>
                <w:sz w:val="18"/>
              </w:rPr>
              <w:t>100%</w:t>
            </w:r>
            <w:r>
              <w:rPr>
                <w:sz w:val="18"/>
              </w:rPr>
              <w:t xml:space="preserve"> (30 of 30 branches)</w:t>
            </w:r>
          </w:p>
        </w:tc>
        <w:tc>
          <w:tcPr>
            <w:tcW w:type="dxa" w:w="1728"/>
          </w:tcPr>
          <w:p>
            <w:r/>
            <w:r>
              <w:rPr>
                <w:sz w:val="18"/>
              </w:rPr>
              <w:t xml:space="preserve">✅ </w:t>
            </w:r>
            <w:r>
              <w:rPr>
                <w:b/>
                <w:sz w:val="18"/>
              </w:rPr>
              <w:t>Met</w:t>
            </w:r>
          </w:p>
        </w:tc>
      </w:tr>
      <w:tr>
        <w:tc>
          <w:tcPr>
            <w:tcW w:type="dxa" w:w="1728"/>
          </w:tcPr>
          <w:p>
            <w:r/>
            <w:r>
              <w:rPr>
                <w:sz w:val="18"/>
              </w:rPr>
              <w:t>X4</w:t>
            </w:r>
          </w:p>
        </w:tc>
        <w:tc>
          <w:tcPr>
            <w:tcW w:type="dxa" w:w="1728"/>
          </w:tcPr>
          <w:p>
            <w:r/>
            <w:r>
              <w:rPr>
                <w:sz w:val="18"/>
              </w:rPr>
              <w:t xml:space="preserve">Statement coverage of </w:t>
            </w:r>
            <w:r>
              <w:rPr>
                <w:rFonts w:ascii="Consolas" w:hAnsi="Consolas"/>
                <w:color w:val="B03060"/>
                <w:sz w:val="18"/>
              </w:rPr>
              <w:t>app/</w:t>
            </w:r>
          </w:p>
        </w:tc>
        <w:tc>
          <w:tcPr>
            <w:tcW w:type="dxa" w:w="1728"/>
          </w:tcPr>
          <w:p>
            <w:r/>
            <w:r>
              <w:rPr>
                <w:sz w:val="18"/>
              </w:rPr>
              <w:t>≥ 85%</w:t>
            </w:r>
          </w:p>
        </w:tc>
        <w:tc>
          <w:tcPr>
            <w:tcW w:type="dxa" w:w="1728"/>
          </w:tcPr>
          <w:p>
            <w:r/>
            <w:r>
              <w:rPr>
                <w:b/>
                <w:sz w:val="18"/>
              </w:rPr>
              <w:t>98.37%</w:t>
            </w:r>
            <w:r>
              <w:rPr>
                <w:sz w:val="18"/>
              </w:rPr>
              <w:t xml:space="preserve"> (346 of 352 statements)</w:t>
            </w:r>
          </w:p>
        </w:tc>
        <w:tc>
          <w:tcPr>
            <w:tcW w:type="dxa" w:w="1728"/>
          </w:tcPr>
          <w:p>
            <w:r/>
            <w:r>
              <w:rPr>
                <w:sz w:val="18"/>
              </w:rPr>
              <w:t xml:space="preserve">✅ </w:t>
            </w:r>
            <w:r>
              <w:rPr>
                <w:b/>
                <w:sz w:val="18"/>
              </w:rPr>
              <w:t>Met</w:t>
            </w:r>
          </w:p>
        </w:tc>
      </w:tr>
      <w:tr>
        <w:tc>
          <w:tcPr>
            <w:tcW w:type="dxa" w:w="1728"/>
          </w:tcPr>
          <w:p>
            <w:r/>
            <w:r>
              <w:rPr>
                <w:sz w:val="18"/>
              </w:rPr>
              <w:t>X5</w:t>
            </w:r>
          </w:p>
        </w:tc>
        <w:tc>
          <w:tcPr>
            <w:tcW w:type="dxa" w:w="1728"/>
          </w:tcPr>
          <w:p>
            <w:r/>
            <w:r>
              <w:rPr>
                <w:sz w:val="18"/>
              </w:rPr>
              <w:t>Critical and High defects open</w:t>
            </w:r>
          </w:p>
        </w:tc>
        <w:tc>
          <w:tcPr>
            <w:tcW w:type="dxa" w:w="1728"/>
          </w:tcPr>
          <w:p>
            <w:r/>
            <w:r>
              <w:rPr>
                <w:sz w:val="18"/>
              </w:rPr>
              <w:t>0</w:t>
            </w:r>
          </w:p>
        </w:tc>
        <w:tc>
          <w:tcPr>
            <w:tcW w:type="dxa" w:w="1728"/>
          </w:tcPr>
          <w:p>
            <w:r/>
            <w:r>
              <w:rPr>
                <w:b/>
                <w:sz w:val="18"/>
              </w:rPr>
              <w:t>2 open</w:t>
            </w:r>
            <w:r>
              <w:rPr>
                <w:sz w:val="18"/>
              </w:rPr>
              <w:t xml:space="preserve"> — DEF-001, DEF-002</w:t>
            </w:r>
          </w:p>
        </w:tc>
        <w:tc>
          <w:tcPr>
            <w:tcW w:type="dxa" w:w="1728"/>
          </w:tcPr>
          <w:p>
            <w:r/>
            <w:r>
              <w:rPr>
                <w:sz w:val="18"/>
              </w:rPr>
              <w:t xml:space="preserve">❌ </w:t>
            </w:r>
            <w:r>
              <w:rPr>
                <w:b/>
                <w:sz w:val="18"/>
              </w:rPr>
              <w:t>Not met</w:t>
            </w:r>
          </w:p>
        </w:tc>
      </w:tr>
      <w:tr>
        <w:tc>
          <w:tcPr>
            <w:tcW w:type="dxa" w:w="1728"/>
          </w:tcPr>
          <w:p>
            <w:r/>
            <w:r>
              <w:rPr>
                <w:sz w:val="18"/>
              </w:rPr>
              <w:t>X6</w:t>
            </w:r>
          </w:p>
        </w:tc>
        <w:tc>
          <w:tcPr>
            <w:tcW w:type="dxa" w:w="1728"/>
          </w:tcPr>
          <w:p>
            <w:r/>
            <w:r>
              <w:rPr>
                <w:sz w:val="18"/>
              </w:rPr>
              <w:t>Medium defects open</w:t>
            </w:r>
          </w:p>
        </w:tc>
        <w:tc>
          <w:tcPr>
            <w:tcW w:type="dxa" w:w="1728"/>
          </w:tcPr>
          <w:p>
            <w:r/>
            <w:r>
              <w:rPr>
                <w:sz w:val="18"/>
              </w:rPr>
              <w:t>≤ 3, each with a workaround</w:t>
            </w:r>
          </w:p>
        </w:tc>
        <w:tc>
          <w:tcPr>
            <w:tcW w:type="dxa" w:w="1728"/>
          </w:tcPr>
          <w:p>
            <w:r/>
            <w:r>
              <w:rPr>
                <w:sz w:val="18"/>
              </w:rPr>
              <w:t>2 open — DEF-004, DEF-005, workarounds in §6</w:t>
            </w:r>
          </w:p>
        </w:tc>
        <w:tc>
          <w:tcPr>
            <w:tcW w:type="dxa" w:w="1728"/>
          </w:tcPr>
          <w:p>
            <w:r/>
            <w:r>
              <w:rPr>
                <w:sz w:val="18"/>
              </w:rPr>
              <w:t xml:space="preserve">✅ </w:t>
            </w:r>
            <w:r>
              <w:rPr>
                <w:b/>
                <w:sz w:val="18"/>
              </w:rPr>
              <w:t>Met</w:t>
            </w:r>
          </w:p>
        </w:tc>
      </w:tr>
      <w:tr>
        <w:tc>
          <w:tcPr>
            <w:tcW w:type="dxa" w:w="1728"/>
          </w:tcPr>
          <w:p>
            <w:r/>
            <w:r>
              <w:rPr>
                <w:sz w:val="18"/>
              </w:rPr>
              <w:t>X7</w:t>
            </w:r>
          </w:p>
        </w:tc>
        <w:tc>
          <w:tcPr>
            <w:tcW w:type="dxa" w:w="1728"/>
          </w:tcPr>
          <w:p>
            <w:r/>
            <w:r>
              <w:rPr>
                <w:sz w:val="18"/>
              </w:rPr>
              <w:t>Every decision table rule automated</w:t>
            </w:r>
          </w:p>
        </w:tc>
        <w:tc>
          <w:tcPr>
            <w:tcW w:type="dxa" w:w="1728"/>
          </w:tcPr>
          <w:p>
            <w:r/>
            <w:r>
              <w:rPr>
                <w:sz w:val="18"/>
              </w:rPr>
              <w:t>100% of rules</w:t>
            </w:r>
          </w:p>
        </w:tc>
        <w:tc>
          <w:tcPr>
            <w:tcW w:type="dxa" w:w="1728"/>
          </w:tcPr>
          <w:p>
            <w:r/>
            <w:r>
              <w:rPr>
                <w:sz w:val="18"/>
              </w:rPr>
              <w:t>9 of 9 rules, each with ≥ 2 tests</w:t>
            </w:r>
          </w:p>
        </w:tc>
        <w:tc>
          <w:tcPr>
            <w:tcW w:type="dxa" w:w="1728"/>
          </w:tcPr>
          <w:p>
            <w:r/>
            <w:r>
              <w:rPr>
                <w:sz w:val="18"/>
              </w:rPr>
              <w:t xml:space="preserve">✅ </w:t>
            </w:r>
            <w:r>
              <w:rPr>
                <w:b/>
                <w:sz w:val="18"/>
              </w:rPr>
              <w:t>Met</w:t>
            </w:r>
          </w:p>
        </w:tc>
      </w:tr>
      <w:tr>
        <w:tc>
          <w:tcPr>
            <w:tcW w:type="dxa" w:w="1728"/>
          </w:tcPr>
          <w:p>
            <w:r/>
            <w:r>
              <w:rPr>
                <w:sz w:val="18"/>
              </w:rPr>
              <w:t>X8</w:t>
            </w:r>
          </w:p>
        </w:tc>
        <w:tc>
          <w:tcPr>
            <w:tcW w:type="dxa" w:w="1728"/>
          </w:tcPr>
          <w:p>
            <w:r/>
            <w:r>
              <w:rPr>
                <w:sz w:val="18"/>
              </w:rPr>
              <w:t>Every state transition automated</w:t>
            </w:r>
          </w:p>
        </w:tc>
        <w:tc>
          <w:tcPr>
            <w:tcW w:type="dxa" w:w="1728"/>
          </w:tcPr>
          <w:p>
            <w:r/>
            <w:r>
              <w:rPr>
                <w:sz w:val="18"/>
              </w:rPr>
              <w:t>25 of 25 pairs</w:t>
            </w:r>
          </w:p>
        </w:tc>
        <w:tc>
          <w:tcPr>
            <w:tcW w:type="dxa" w:w="1728"/>
          </w:tcPr>
          <w:p>
            <w:r/>
            <w:r>
              <w:rPr>
                <w:sz w:val="18"/>
              </w:rPr>
              <w:t>25 of 25 (5 valid, 20 invalid)</w:t>
            </w:r>
          </w:p>
        </w:tc>
        <w:tc>
          <w:tcPr>
            <w:tcW w:type="dxa" w:w="1728"/>
          </w:tcPr>
          <w:p>
            <w:r/>
            <w:r>
              <w:rPr>
                <w:sz w:val="18"/>
              </w:rPr>
              <w:t xml:space="preserve">✅ </w:t>
            </w:r>
            <w:r>
              <w:rPr>
                <w:b/>
                <w:sz w:val="18"/>
              </w:rPr>
              <w:t>Met</w:t>
            </w:r>
          </w:p>
        </w:tc>
      </w:tr>
      <w:tr>
        <w:tc>
          <w:tcPr>
            <w:tcW w:type="dxa" w:w="1728"/>
          </w:tcPr>
          <w:p>
            <w:r/>
            <w:r>
              <w:rPr>
                <w:sz w:val="18"/>
              </w:rPr>
              <w:t>X9</w:t>
            </w:r>
          </w:p>
        </w:tc>
        <w:tc>
          <w:tcPr>
            <w:tcW w:type="dxa" w:w="1728"/>
          </w:tcPr>
          <w:p>
            <w:r/>
            <w:r>
              <w:rPr>
                <w:sz w:val="18"/>
              </w:rPr>
              <w:t>Documentation complete and committed</w:t>
            </w:r>
          </w:p>
        </w:tc>
        <w:tc>
          <w:tcPr>
            <w:tcW w:type="dxa" w:w="1728"/>
          </w:tcPr>
          <w:p>
            <w:r/>
            <w:r>
              <w:rPr>
                <w:sz w:val="18"/>
              </w:rPr>
              <w:t>All six artefacts</w:t>
            </w:r>
          </w:p>
        </w:tc>
        <w:tc>
          <w:tcPr>
            <w:tcW w:type="dxa" w:w="1728"/>
          </w:tcPr>
          <w:p>
            <w:r/>
            <w:r>
              <w:rPr>
                <w:sz w:val="18"/>
              </w:rPr>
              <w:t>Plan, Design, Defect Log, Metrics, this report, Reflection</w:t>
            </w:r>
          </w:p>
        </w:tc>
        <w:tc>
          <w:tcPr>
            <w:tcW w:type="dxa" w:w="1728"/>
          </w:tcPr>
          <w:p>
            <w:r/>
            <w:r>
              <w:rPr>
                <w:sz w:val="18"/>
              </w:rPr>
              <w:t xml:space="preserve">✅ </w:t>
            </w:r>
            <w:r>
              <w:rPr>
                <w:b/>
                <w:sz w:val="18"/>
              </w:rPr>
              <w:t>Met</w:t>
            </w:r>
          </w:p>
        </w:tc>
      </w:tr>
      <w:tr>
        <w:tc>
          <w:tcPr>
            <w:tcW w:type="dxa" w:w="1728"/>
          </w:tcPr>
          <w:p>
            <w:r/>
            <w:r>
              <w:rPr>
                <w:sz w:val="18"/>
              </w:rPr>
              <w:t>X10</w:t>
            </w:r>
          </w:p>
        </w:tc>
        <w:tc>
          <w:tcPr>
            <w:tcW w:type="dxa" w:w="1728"/>
          </w:tcPr>
          <w:p>
            <w:r/>
            <w:r>
              <w:rPr>
                <w:sz w:val="18"/>
              </w:rPr>
              <w:t>CI green on the final commit, excluding defect reproducers</w:t>
            </w:r>
          </w:p>
        </w:tc>
        <w:tc>
          <w:tcPr>
            <w:tcW w:type="dxa" w:w="1728"/>
          </w:tcPr>
          <w:p>
            <w:r/>
            <w:r>
              <w:rPr>
                <w:sz w:val="18"/>
              </w:rPr>
              <w:t>Pass</w:t>
            </w:r>
          </w:p>
        </w:tc>
        <w:tc>
          <w:tcPr>
            <w:tcW w:type="dxa" w:w="1728"/>
          </w:tcPr>
          <w:p>
            <w:r/>
            <w:r>
              <w:rPr>
                <w:rFonts w:ascii="Consolas" w:hAnsi="Consolas"/>
                <w:color w:val="B03060"/>
                <w:sz w:val="18"/>
              </w:rPr>
              <w:t>pytest -m "not defect"</w:t>
            </w:r>
            <w:r>
              <w:rPr>
                <w:sz w:val="18"/>
              </w:rPr>
              <w:t xml:space="preserve"> → 147 passed, 5 deselected</w:t>
            </w:r>
          </w:p>
        </w:tc>
        <w:tc>
          <w:tcPr>
            <w:tcW w:type="dxa" w:w="1728"/>
          </w:tcPr>
          <w:p>
            <w:r/>
            <w:r>
              <w:rPr>
                <w:sz w:val="18"/>
              </w:rPr>
              <w:t xml:space="preserve">✅ </w:t>
            </w:r>
            <w:r>
              <w:rPr>
                <w:b/>
                <w:sz w:val="18"/>
              </w:rPr>
              <w:t>Met</w:t>
            </w:r>
          </w:p>
        </w:tc>
      </w:tr>
    </w:tbl>
    <w:p/>
    <w:p>
      <w:r>
        <w:rPr>
          <w:b/>
        </w:rPr>
        <w:t>9 of 10 met. X5 is not met, and X5 is the release gate.</w:t>
      </w:r>
    </w:p>
    <w:p>
      <w:pPr>
        <w:pStyle w:val="Heading1"/>
      </w:pPr>
      <w:r>
        <w:t>5. Quality Metrics</w:t>
      </w:r>
    </w:p>
    <w:p>
      <w:r>
        <w:t xml:space="preserve">Measured values from </w:t>
      </w:r>
      <w:r>
        <w:rPr>
          <w:rFonts w:ascii="Consolas" w:hAnsi="Consolas"/>
          <w:color w:val="B03060"/>
        </w:rPr>
        <w:t>metrics.json</w:t>
      </w:r>
      <w:r>
        <w:t xml:space="preserve">, regenerable with </w:t>
      </w:r>
      <w:r>
        <w:rPr>
          <w:rFonts w:ascii="Consolas" w:hAnsi="Consolas"/>
          <w:color w:val="B03060"/>
        </w:rPr>
        <w:t>python3 tools/collect_metrics.py</w:t>
      </w:r>
      <w: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Value</w:t>
            </w:r>
          </w:p>
        </w:tc>
        <w:tc>
          <w:tcPr>
            <w:tcW w:type="dxa" w:w="2880"/>
          </w:tcPr>
          <w:p>
            <w:r/>
            <w:r>
              <w:rPr>
                <w:b/>
                <w:sz w:val="18"/>
              </w:rPr>
              <w:t>Basis</w:t>
            </w:r>
          </w:p>
        </w:tc>
      </w:tr>
      <w:tr>
        <w:tc>
          <w:tcPr>
            <w:tcW w:type="dxa" w:w="2880"/>
          </w:tcPr>
          <w:p>
            <w:r/>
            <w:r>
              <w:rPr>
                <w:sz w:val="18"/>
              </w:rPr>
              <w:t>Defects found</w:t>
            </w:r>
          </w:p>
        </w:tc>
        <w:tc>
          <w:tcPr>
            <w:tcW w:type="dxa" w:w="2880"/>
          </w:tcPr>
          <w:p>
            <w:r/>
            <w:r>
              <w:rPr>
                <w:sz w:val="18"/>
              </w:rPr>
              <w:t>5</w:t>
            </w:r>
          </w:p>
        </w:tc>
        <w:tc>
          <w:tcPr>
            <w:tcW w:type="dxa" w:w="2880"/>
          </w:tcPr>
          <w:p>
            <w:r/>
            <w:r>
              <w:rPr>
                <w:rFonts w:ascii="Consolas" w:hAnsi="Consolas"/>
                <w:color w:val="B03060"/>
                <w:sz w:val="18"/>
              </w:rPr>
              <w:t>defect_log.csv</w:t>
            </w:r>
          </w:p>
        </w:tc>
      </w:tr>
      <w:tr>
        <w:tc>
          <w:tcPr>
            <w:tcW w:type="dxa" w:w="2880"/>
          </w:tcPr>
          <w:p>
            <w:r/>
            <w:r>
              <w:rPr>
                <w:sz w:val="18"/>
              </w:rPr>
              <w:t>Defects escaped to users</w:t>
            </w:r>
          </w:p>
        </w:tc>
        <w:tc>
          <w:tcPr>
            <w:tcW w:type="dxa" w:w="2880"/>
          </w:tcPr>
          <w:p>
            <w:r/>
            <w:r>
              <w:rPr>
                <w:sz w:val="18"/>
              </w:rPr>
              <w:t>0</w:t>
            </w:r>
          </w:p>
        </w:tc>
        <w:tc>
          <w:tcPr>
            <w:tcW w:type="dxa" w:w="2880"/>
          </w:tcPr>
          <w:p>
            <w:r/>
            <w:r>
              <w:rPr>
                <w:sz w:val="18"/>
              </w:rPr>
              <w:t>The system has not been released.</w:t>
            </w:r>
          </w:p>
        </w:tc>
      </w:tr>
      <w:tr>
        <w:tc>
          <w:tcPr>
            <w:tcW w:type="dxa" w:w="2880"/>
          </w:tcPr>
          <w:p>
            <w:r/>
            <w:r>
              <w:rPr>
                <w:sz w:val="18"/>
              </w:rPr>
              <w:t>Defect density</w:t>
            </w:r>
          </w:p>
        </w:tc>
        <w:tc>
          <w:tcPr>
            <w:tcW w:type="dxa" w:w="2880"/>
          </w:tcPr>
          <w:p>
            <w:r/>
            <w:r>
              <w:rPr>
                <w:b/>
                <w:sz w:val="18"/>
              </w:rPr>
              <w:t>10.0 per KLOC</w:t>
            </w:r>
          </w:p>
        </w:tc>
        <w:tc>
          <w:tcPr>
            <w:tcW w:type="dxa" w:w="2880"/>
          </w:tcPr>
          <w:p>
            <w:r/>
            <w:r>
              <w:rPr>
                <w:sz w:val="18"/>
              </w:rPr>
              <w:t xml:space="preserve">5 defects ÷ 500 non-blank, non-comment lines in </w:t>
            </w:r>
            <w:r>
              <w:rPr>
                <w:rFonts w:ascii="Consolas" w:hAnsi="Consolas"/>
                <w:color w:val="B03060"/>
                <w:sz w:val="18"/>
              </w:rPr>
              <w:t>app/</w:t>
            </w:r>
          </w:p>
        </w:tc>
      </w:tr>
      <w:tr>
        <w:tc>
          <w:tcPr>
            <w:tcW w:type="dxa" w:w="2880"/>
          </w:tcPr>
          <w:p>
            <w:r/>
            <w:r>
              <w:rPr>
                <w:sz w:val="18"/>
              </w:rPr>
              <w:t>Defect removal efficiency (pre-release)</w:t>
            </w:r>
          </w:p>
        </w:tc>
        <w:tc>
          <w:tcPr>
            <w:tcW w:type="dxa" w:w="2880"/>
          </w:tcPr>
          <w:p>
            <w:r/>
            <w:r>
              <w:rPr>
                <w:b/>
                <w:sz w:val="18"/>
              </w:rPr>
              <w:t>100%</w:t>
            </w:r>
          </w:p>
        </w:tc>
        <w:tc>
          <w:tcPr>
            <w:tcW w:type="dxa" w:w="2880"/>
          </w:tcPr>
          <w:p>
            <w:r/>
            <w:r>
              <w:rPr>
                <w:sz w:val="18"/>
              </w:rPr>
              <w:t>All 5 found before release</w:t>
            </w:r>
          </w:p>
        </w:tc>
      </w:tr>
      <w:tr>
        <w:tc>
          <w:tcPr>
            <w:tcW w:type="dxa" w:w="2880"/>
          </w:tcPr>
          <w:p>
            <w:r/>
            <w:r>
              <w:rPr>
                <w:sz w:val="18"/>
              </w:rPr>
              <w:t>Defect removal efficiency (unit test phase)</w:t>
            </w:r>
          </w:p>
        </w:tc>
        <w:tc>
          <w:tcPr>
            <w:tcW w:type="dxa" w:w="2880"/>
          </w:tcPr>
          <w:p>
            <w:r/>
            <w:r>
              <w:rPr>
                <w:b/>
                <w:sz w:val="18"/>
              </w:rPr>
              <w:t>0%</w:t>
            </w:r>
          </w:p>
        </w:tc>
        <w:tc>
          <w:tcPr>
            <w:tcW w:type="dxa" w:w="2880"/>
          </w:tcPr>
          <w:p>
            <w:r/>
            <w:r>
              <w:rPr>
                <w:sz w:val="18"/>
              </w:rPr>
              <w:t>The 52 unit tests that predated this test design passed against all 5 defects</w:t>
            </w:r>
          </w:p>
        </w:tc>
      </w:tr>
      <w:tr>
        <w:tc>
          <w:tcPr>
            <w:tcW w:type="dxa" w:w="2880"/>
          </w:tcPr>
          <w:p>
            <w:r/>
            <w:r>
              <w:rPr>
                <w:sz w:val="18"/>
              </w:rPr>
              <w:t>Statement coverage</w:t>
            </w:r>
          </w:p>
        </w:tc>
        <w:tc>
          <w:tcPr>
            <w:tcW w:type="dxa" w:w="2880"/>
          </w:tcPr>
          <w:p>
            <w:r/>
            <w:r>
              <w:rPr>
                <w:b/>
                <w:sz w:val="18"/>
              </w:rPr>
              <w:t>98.37%</w:t>
            </w:r>
          </w:p>
        </w:tc>
        <w:tc>
          <w:tcPr>
            <w:tcW w:type="dxa" w:w="2880"/>
          </w:tcPr>
          <w:p>
            <w:r/>
            <w:r>
              <w:rPr>
                <w:sz w:val="18"/>
              </w:rPr>
              <w:t>346 of 352 statements</w:t>
            </w:r>
          </w:p>
        </w:tc>
      </w:tr>
      <w:tr>
        <w:tc>
          <w:tcPr>
            <w:tcW w:type="dxa" w:w="2880"/>
          </w:tcPr>
          <w:p>
            <w:r/>
            <w:r>
              <w:rPr>
                <w:sz w:val="18"/>
              </w:rPr>
              <w:t>Branch coverage</w:t>
            </w:r>
          </w:p>
        </w:tc>
        <w:tc>
          <w:tcPr>
            <w:tcW w:type="dxa" w:w="2880"/>
          </w:tcPr>
          <w:p>
            <w:r/>
            <w:r>
              <w:rPr>
                <w:b/>
                <w:sz w:val="18"/>
              </w:rPr>
              <w:t>94.87%</w:t>
            </w:r>
          </w:p>
        </w:tc>
        <w:tc>
          <w:tcPr>
            <w:tcW w:type="dxa" w:w="2880"/>
          </w:tcPr>
          <w:p>
            <w:r/>
            <w:r>
              <w:rPr>
                <w:sz w:val="18"/>
              </w:rPr>
              <w:t>74 of 78 branches</w:t>
            </w:r>
          </w:p>
        </w:tc>
      </w:tr>
      <w:tr>
        <w:tc>
          <w:tcPr>
            <w:tcW w:type="dxa" w:w="2880"/>
          </w:tcPr>
          <w:p>
            <w:r/>
            <w:r>
              <w:rPr>
                <w:rFonts w:ascii="Consolas" w:hAnsi="Consolas"/>
                <w:color w:val="B03060"/>
                <w:sz w:val="18"/>
              </w:rPr>
              <w:t>business_logic.py</w:t>
            </w:r>
            <w:r>
              <w:rPr>
                <w:sz w:val="18"/>
              </w:rPr>
              <w:t xml:space="preserve"> coverage</w:t>
            </w:r>
          </w:p>
        </w:tc>
        <w:tc>
          <w:tcPr>
            <w:tcW w:type="dxa" w:w="2880"/>
          </w:tcPr>
          <w:p>
            <w:r/>
            <w:r>
              <w:rPr>
                <w:b/>
                <w:sz w:val="18"/>
              </w:rPr>
              <w:t>100% / 100%</w:t>
            </w:r>
          </w:p>
        </w:tc>
        <w:tc>
          <w:tcPr>
            <w:tcW w:type="dxa" w:w="2880"/>
          </w:tcPr>
          <w:p>
            <w:r/>
            <w:r>
              <w:rPr>
                <w:sz w:val="18"/>
              </w:rPr>
              <w:t>statement / branch</w:t>
            </w:r>
          </w:p>
        </w:tc>
      </w:tr>
      <w:tr>
        <w:tc>
          <w:tcPr>
            <w:tcW w:type="dxa" w:w="2880"/>
          </w:tcPr>
          <w:p>
            <w:r/>
            <w:r>
              <w:rPr>
                <w:sz w:val="18"/>
              </w:rPr>
              <w:t>Automated tests</w:t>
            </w:r>
          </w:p>
        </w:tc>
        <w:tc>
          <w:tcPr>
            <w:tcW w:type="dxa" w:w="2880"/>
          </w:tcPr>
          <w:p>
            <w:r/>
            <w:r>
              <w:rPr>
                <w:sz w:val="18"/>
              </w:rPr>
              <w:t>152 total, 147 pass, 5 fail</w:t>
            </w:r>
          </w:p>
        </w:tc>
        <w:tc>
          <w:tcPr>
            <w:tcW w:type="dxa" w:w="2880"/>
          </w:tcPr>
          <w:p>
            <w:r/>
            <w:r>
              <w:rPr>
                <w:sz w:val="18"/>
              </w:rPr>
              <w:t>All 5 failures are defect reproducers</w:t>
            </w:r>
          </w:p>
        </w:tc>
      </w:tr>
    </w:tbl>
    <w:p/>
    <w:p>
      <w:r>
        <w:rPr>
          <w:b/>
        </w:rPr>
        <w:t>The number worth arguing about is the 0% unit-phase DRE.</w:t>
      </w:r>
      <w:r>
        <w:t xml:space="preserve"> Fifty-two unit tests and 95% coverage existed before this test design started, and they found none of these five defects. Coverage measures which lines ran, not which </w:t>
      </w:r>
      <w:r>
        <w:rPr>
          <w:i/>
        </w:rPr>
        <w:t>combinations</w:t>
      </w:r>
      <w:r>
        <w:t xml:space="preserve"> of conditions and which </w:t>
      </w:r>
      <w:r>
        <w:rPr>
          <w:i/>
        </w:rPr>
        <w:t>sequences</w:t>
      </w:r>
      <w:r>
        <w:t xml:space="preserve"> of states were exercised. Every one of the five defects lives in a combination or a sequence: DEF-001 and DEF-002 need a specific ordering of state changes, DEF-005 is an absent code path that no coverage tool can flag, and DEF-003 and DEF-004 need input values no one thought to try. That is the practical case for decision table and state transition testing, and it is the single most transferable finding of this project.</w:t>
      </w:r>
    </w:p>
    <w:p>
      <w:pPr>
        <w:pStyle w:val="Heading1"/>
      </w:pPr>
      <w:r>
        <w:t>6. Outstanding Defects</w:t>
      </w:r>
    </w:p>
    <w:p>
      <w:r>
        <w:t xml:space="preserve">All five defects are </w:t>
      </w:r>
      <w:r>
        <w:rPr>
          <w:b/>
        </w:rPr>
        <w:t>Open</w:t>
      </w:r>
      <w:r>
        <w:t>. None has been fixed; by agreement the application code remains Person 1's to change, and this report exists to give them the evidence.</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ID</w:t>
            </w:r>
          </w:p>
        </w:tc>
        <w:tc>
          <w:tcPr>
            <w:tcW w:type="dxa" w:w="1440"/>
          </w:tcPr>
          <w:p>
            <w:r/>
            <w:r>
              <w:rPr>
                <w:b/>
                <w:sz w:val="18"/>
              </w:rPr>
              <w:t>Severity</w:t>
            </w:r>
          </w:p>
        </w:tc>
        <w:tc>
          <w:tcPr>
            <w:tcW w:type="dxa" w:w="1440"/>
          </w:tcPr>
          <w:p>
            <w:r/>
            <w:r>
              <w:rPr>
                <w:b/>
                <w:sz w:val="18"/>
              </w:rPr>
              <w:t>Priority</w:t>
            </w:r>
          </w:p>
        </w:tc>
        <w:tc>
          <w:tcPr>
            <w:tcW w:type="dxa" w:w="1440"/>
          </w:tcPr>
          <w:p>
            <w:r/>
            <w:r>
              <w:rPr>
                <w:b/>
                <w:sz w:val="18"/>
              </w:rPr>
              <w:t>Summary</w:t>
            </w:r>
          </w:p>
        </w:tc>
        <w:tc>
          <w:tcPr>
            <w:tcW w:type="dxa" w:w="1440"/>
          </w:tcPr>
          <w:p>
            <w:r/>
            <w:r>
              <w:rPr>
                <w:b/>
                <w:sz w:val="18"/>
              </w:rPr>
              <w:t>Reproducer</w:t>
            </w:r>
          </w:p>
        </w:tc>
        <w:tc>
          <w:tcPr>
            <w:tcW w:type="dxa" w:w="1440"/>
          </w:tcPr>
          <w:p>
            <w:r/>
            <w:r>
              <w:rPr>
                <w:b/>
                <w:sz w:val="18"/>
              </w:rPr>
              <w:t>Workaround</w:t>
            </w:r>
          </w:p>
        </w:tc>
      </w:tr>
      <w:tr>
        <w:tc>
          <w:tcPr>
            <w:tcW w:type="dxa" w:w="1440"/>
          </w:tcPr>
          <w:p>
            <w:r/>
            <w:r>
              <w:rPr>
                <w:sz w:val="18"/>
              </w:rPr>
              <w:t>DEF-001</w:t>
            </w:r>
          </w:p>
        </w:tc>
        <w:tc>
          <w:tcPr>
            <w:tcW w:type="dxa" w:w="1440"/>
          </w:tcPr>
          <w:p>
            <w:r/>
            <w:r>
              <w:rPr>
                <w:b/>
                <w:sz w:val="18"/>
              </w:rPr>
              <w:t>Critical</w:t>
            </w:r>
          </w:p>
        </w:tc>
        <w:tc>
          <w:tcPr>
            <w:tcW w:type="dxa" w:w="1440"/>
          </w:tcPr>
          <w:p>
            <w:r/>
            <w:r>
              <w:rPr>
                <w:sz w:val="18"/>
              </w:rPr>
              <w:t>High</w:t>
            </w:r>
          </w:p>
        </w:tc>
        <w:tc>
          <w:tcPr>
            <w:tcW w:type="dxa" w:w="1440"/>
          </w:tcPr>
          <w:p>
            <w:r/>
            <w:r>
              <w:rPr>
                <w:sz w:val="18"/>
              </w:rPr>
              <w:t xml:space="preserve">Cancelling a leave request still in </w:t>
            </w:r>
            <w:r>
              <w:rPr>
                <w:rFonts w:ascii="Consolas" w:hAnsi="Consolas"/>
                <w:color w:val="B03060"/>
                <w:sz w:val="18"/>
              </w:rPr>
              <w:t>Requested</w:t>
            </w:r>
            <w:r>
              <w:rPr>
                <w:sz w:val="18"/>
              </w:rPr>
              <w:t xml:space="preserve"> restores days that were never deducted. </w:t>
            </w:r>
            <w:r>
              <w:rPr>
                <w:rFonts w:ascii="Consolas" w:hAnsi="Consolas"/>
                <w:color w:val="B03060"/>
                <w:sz w:val="18"/>
              </w:rPr>
              <w:t>used_days</w:t>
            </w:r>
            <w:r>
              <w:rPr>
                <w:sz w:val="18"/>
              </w:rPr>
              <w:t xml:space="preserve"> goes to −5 and the balance inflates to 25 of 20. Repeatable without limit.</w:t>
            </w:r>
          </w:p>
        </w:tc>
        <w:tc>
          <w:tcPr>
            <w:tcW w:type="dxa" w:w="1440"/>
          </w:tcPr>
          <w:p>
            <w:r/>
            <w:r>
              <w:rPr>
                <w:rFonts w:ascii="Consolas" w:hAnsi="Consolas"/>
                <w:color w:val="B03060"/>
                <w:sz w:val="18"/>
              </w:rPr>
              <w:t>ST-R12</w:t>
            </w:r>
            <w:r>
              <w:rPr>
                <w:sz w:val="18"/>
              </w:rPr>
              <w:t xml:space="preserve"> — </w:t>
            </w:r>
            <w:r>
              <w:rPr>
                <w:rFonts w:ascii="Consolas" w:hAnsi="Consolas"/>
                <w:color w:val="B03060"/>
                <w:sz w:val="18"/>
              </w:rPr>
              <w:t>tests/test_state_transitions.py::TestStateTransitionDefectProbes::test_st_r12_...</w:t>
            </w:r>
          </w:p>
        </w:tc>
        <w:tc>
          <w:tcPr>
            <w:tcW w:type="dxa" w:w="1440"/>
          </w:tcPr>
          <w:p>
            <w:r/>
            <w:r>
              <w:rPr>
                <w:sz w:val="18"/>
              </w:rPr>
              <w:t xml:space="preserve">None that a user can apply. An administrator must correct </w:t>
            </w:r>
            <w:r>
              <w:rPr>
                <w:rFonts w:ascii="Consolas" w:hAnsi="Consolas"/>
                <w:color w:val="B03060"/>
                <w:sz w:val="18"/>
              </w:rPr>
              <w:t>used_days</w:t>
            </w:r>
            <w:r>
              <w:rPr>
                <w:sz w:val="18"/>
              </w:rPr>
              <w:t xml:space="preserve"> in the database by hand.</w:t>
            </w:r>
          </w:p>
        </w:tc>
      </w:tr>
      <w:tr>
        <w:tc>
          <w:tcPr>
            <w:tcW w:type="dxa" w:w="1440"/>
          </w:tcPr>
          <w:p>
            <w:r/>
            <w:r>
              <w:rPr>
                <w:sz w:val="18"/>
              </w:rPr>
              <w:t>DEF-002</w:t>
            </w:r>
          </w:p>
        </w:tc>
        <w:tc>
          <w:tcPr>
            <w:tcW w:type="dxa" w:w="1440"/>
          </w:tcPr>
          <w:p>
            <w:r/>
            <w:r>
              <w:rPr>
                <w:b/>
                <w:sz w:val="18"/>
              </w:rPr>
              <w:t>Critical</w:t>
            </w:r>
          </w:p>
        </w:tc>
        <w:tc>
          <w:tcPr>
            <w:tcW w:type="dxa" w:w="1440"/>
          </w:tcPr>
          <w:p>
            <w:r/>
            <w:r>
              <w:rPr>
                <w:sz w:val="18"/>
              </w:rPr>
              <w:t>High</w:t>
            </w:r>
          </w:p>
        </w:tc>
        <w:tc>
          <w:tcPr>
            <w:tcW w:type="dxa" w:w="1440"/>
          </w:tcPr>
          <w:p>
            <w:r/>
            <w:r>
              <w:rPr>
                <w:sz w:val="18"/>
              </w:rPr>
              <w:t xml:space="preserve">Approval never re-checks the balance. Two 20-day requests against a 20-day entitlement are both approved: </w:t>
            </w:r>
            <w:r>
              <w:rPr>
                <w:rFonts w:ascii="Consolas" w:hAnsi="Consolas"/>
                <w:color w:val="B03060"/>
                <w:sz w:val="18"/>
              </w:rPr>
              <w:t>used_days</w:t>
            </w:r>
            <w:r>
              <w:rPr>
                <w:sz w:val="18"/>
              </w:rPr>
              <w:t xml:space="preserve"> 40, </w:t>
            </w:r>
            <w:r>
              <w:rPr>
                <w:rFonts w:ascii="Consolas" w:hAnsi="Consolas"/>
                <w:color w:val="B03060"/>
                <w:sz w:val="18"/>
              </w:rPr>
              <w:t>remaining_days</w:t>
            </w:r>
            <w:r>
              <w:rPr>
                <w:sz w:val="18"/>
              </w:rPr>
              <w:t xml:space="preserve"> −20.</w:t>
            </w:r>
          </w:p>
        </w:tc>
        <w:tc>
          <w:tcPr>
            <w:tcW w:type="dxa" w:w="1440"/>
          </w:tcPr>
          <w:p>
            <w:r/>
            <w:r>
              <w:rPr>
                <w:rFonts w:ascii="Consolas" w:hAnsi="Consolas"/>
                <w:color w:val="B03060"/>
                <w:sz w:val="18"/>
              </w:rPr>
              <w:t>ST-R13</w:t>
            </w:r>
            <w:r>
              <w:rPr>
                <w:sz w:val="18"/>
              </w:rPr>
              <w:t xml:space="preserve"> — </w:t>
            </w:r>
            <w:r>
              <w:rPr>
                <w:rFonts w:ascii="Consolas" w:hAnsi="Consolas"/>
                <w:color w:val="B03060"/>
                <w:sz w:val="18"/>
              </w:rPr>
              <w:t>...::test_st_r13_approval_must_re_check_the_balance</w:t>
            </w:r>
          </w:p>
        </w:tc>
        <w:tc>
          <w:tcPr>
            <w:tcW w:type="dxa" w:w="1440"/>
          </w:tcPr>
          <w:p>
            <w:r/>
            <w:r>
              <w:rPr>
                <w:sz w:val="18"/>
              </w:rPr>
              <w:t>Procedural only: the administrator must check the employee's remaining balance manually before each approval.</w:t>
            </w:r>
          </w:p>
        </w:tc>
      </w:tr>
      <w:tr>
        <w:tc>
          <w:tcPr>
            <w:tcW w:type="dxa" w:w="1440"/>
          </w:tcPr>
          <w:p>
            <w:r/>
            <w:r>
              <w:rPr>
                <w:sz w:val="18"/>
              </w:rPr>
              <w:t>DEF-004</w:t>
            </w:r>
          </w:p>
        </w:tc>
        <w:tc>
          <w:tcPr>
            <w:tcW w:type="dxa" w:w="1440"/>
          </w:tcPr>
          <w:p>
            <w:r/>
            <w:r>
              <w:rPr>
                <w:sz w:val="18"/>
              </w:rPr>
              <w:t>Medium</w:t>
            </w:r>
          </w:p>
        </w:tc>
        <w:tc>
          <w:tcPr>
            <w:tcW w:type="dxa" w:w="1440"/>
          </w:tcPr>
          <w:p>
            <w:r/>
            <w:r>
              <w:rPr>
                <w:sz w:val="18"/>
              </w:rPr>
              <w:t>Medium</w:t>
            </w:r>
          </w:p>
        </w:tc>
        <w:tc>
          <w:tcPr>
            <w:tcW w:type="dxa" w:w="1440"/>
          </w:tcPr>
          <w:p>
            <w:r/>
            <w:r>
              <w:rPr>
                <w:rFonts w:ascii="Consolas" w:hAnsi="Consolas"/>
                <w:color w:val="B03060"/>
                <w:sz w:val="18"/>
              </w:rPr>
              <w:t>calculate_service_months</w:t>
            </w:r>
            <w:r>
              <w:rPr>
                <w:sz w:val="18"/>
              </w:rPr>
              <w:t xml:space="preserve"> undercounts by one month for hire dates on the 29th–31st, so an eligible employee is refused on the last day of a short month.</w:t>
            </w:r>
          </w:p>
        </w:tc>
        <w:tc>
          <w:tcPr>
            <w:tcW w:type="dxa" w:w="1440"/>
          </w:tcPr>
          <w:p>
            <w:r/>
            <w:r>
              <w:rPr>
                <w:rFonts w:ascii="Consolas" w:hAnsi="Consolas"/>
                <w:color w:val="B03060"/>
                <w:sz w:val="18"/>
              </w:rPr>
              <w:t>DT-20</w:t>
            </w:r>
            <w:r>
              <w:rPr>
                <w:sz w:val="18"/>
              </w:rPr>
              <w:t xml:space="preserve"> — </w:t>
            </w:r>
            <w:r>
              <w:rPr>
                <w:rFonts w:ascii="Consolas" w:hAnsi="Consolas"/>
                <w:color w:val="B03060"/>
                <w:sz w:val="18"/>
              </w:rPr>
              <w:t>tests/test_decision_table.py::...::test_dt_20_service_months_at_a_month_end_hire_date</w:t>
            </w:r>
          </w:p>
        </w:tc>
        <w:tc>
          <w:tcPr>
            <w:tcW w:type="dxa" w:w="1440"/>
          </w:tcPr>
          <w:p>
            <w:r/>
            <w:r>
              <w:rPr>
                <w:sz w:val="18"/>
              </w:rPr>
              <w:t>The employee can re-submit the following day, when the count corrects itself.</w:t>
            </w:r>
          </w:p>
        </w:tc>
      </w:tr>
      <w:tr>
        <w:tc>
          <w:tcPr>
            <w:tcW w:type="dxa" w:w="1440"/>
          </w:tcPr>
          <w:p>
            <w:r/>
            <w:r>
              <w:rPr>
                <w:sz w:val="18"/>
              </w:rPr>
              <w:t>DEF-005</w:t>
            </w:r>
          </w:p>
        </w:tc>
        <w:tc>
          <w:tcPr>
            <w:tcW w:type="dxa" w:w="1440"/>
          </w:tcPr>
          <w:p>
            <w:r/>
            <w:r>
              <w:rPr>
                <w:sz w:val="18"/>
              </w:rPr>
              <w:t>Medium</w:t>
            </w:r>
          </w:p>
        </w:tc>
        <w:tc>
          <w:tcPr>
            <w:tcW w:type="dxa" w:w="1440"/>
          </w:tcPr>
          <w:p>
            <w:r/>
            <w:r>
              <w:rPr>
                <w:sz w:val="18"/>
              </w:rPr>
              <w:t>Medium</w:t>
            </w:r>
          </w:p>
        </w:tc>
        <w:tc>
          <w:tcPr>
            <w:tcW w:type="dxa" w:w="1440"/>
          </w:tcPr>
          <w:p>
            <w:r/>
            <w:r>
              <w:rPr>
                <w:sz w:val="18"/>
              </w:rPr>
              <w:t xml:space="preserve">The </w:t>
            </w:r>
            <w:r>
              <w:rPr>
                <w:rFonts w:ascii="Consolas" w:hAnsi="Consolas"/>
                <w:color w:val="B03060"/>
                <w:sz w:val="18"/>
              </w:rPr>
              <w:t>Taken</w:t>
            </w:r>
            <w:r>
              <w:rPr>
                <w:sz w:val="18"/>
              </w:rPr>
              <w:t xml:space="preserve"> state is unreachable. </w:t>
            </w:r>
            <w:r>
              <w:rPr>
                <w:rFonts w:ascii="Consolas" w:hAnsi="Consolas"/>
                <w:color w:val="B03060"/>
                <w:sz w:val="18"/>
              </w:rPr>
              <w:t>Approved → Taken</w:t>
            </w:r>
            <w:r>
              <w:rPr>
                <w:sz w:val="18"/>
              </w:rPr>
              <w:t xml:space="preserve"> is declared in the model but nothing in </w:t>
            </w:r>
            <w:r>
              <w:rPr>
                <w:rFonts w:ascii="Consolas" w:hAnsi="Consolas"/>
                <w:color w:val="B03060"/>
                <w:sz w:val="18"/>
              </w:rPr>
              <w:t>app/</w:t>
            </w:r>
            <w:r>
              <w:rPr>
                <w:sz w:val="18"/>
              </w:rPr>
              <w:t xml:space="preserve"> ever performs it.</w:t>
            </w:r>
          </w:p>
        </w:tc>
        <w:tc>
          <w:tcPr>
            <w:tcW w:type="dxa" w:w="1440"/>
          </w:tcPr>
          <w:p>
            <w:r/>
            <w:r>
              <w:rPr>
                <w:rFonts w:ascii="Consolas" w:hAnsi="Consolas"/>
                <w:color w:val="B03060"/>
                <w:sz w:val="18"/>
              </w:rPr>
              <w:t>ST-R14</w:t>
            </w:r>
            <w:r>
              <w:rPr>
                <w:sz w:val="18"/>
              </w:rPr>
              <w:t xml:space="preserve"> — </w:t>
            </w:r>
            <w:r>
              <w:rPr>
                <w:rFonts w:ascii="Consolas" w:hAnsi="Consolas"/>
                <w:color w:val="B03060"/>
                <w:sz w:val="18"/>
              </w:rPr>
              <w:t>...::test_st_r14_taken_state_is_reachable_from_the_application</w:t>
            </w:r>
          </w:p>
        </w:tc>
        <w:tc>
          <w:tcPr>
            <w:tcW w:type="dxa" w:w="1440"/>
          </w:tcPr>
          <w:p>
            <w:r/>
            <w:r>
              <w:rPr>
                <w:sz w:val="18"/>
              </w:rPr>
              <w:t xml:space="preserve">Treat </w:t>
            </w:r>
            <w:r>
              <w:rPr>
                <w:rFonts w:ascii="Consolas" w:hAnsi="Consolas"/>
                <w:color w:val="B03060"/>
                <w:sz w:val="18"/>
              </w:rPr>
              <w:t>Approved</w:t>
            </w:r>
            <w:r>
              <w:rPr>
                <w:sz w:val="18"/>
              </w:rPr>
              <w:t xml:space="preserve"> as meaning both "upcoming" and "taken", and distinguish them by comparing the end date by eye.</w:t>
            </w:r>
          </w:p>
        </w:tc>
      </w:tr>
      <w:tr>
        <w:tc>
          <w:tcPr>
            <w:tcW w:type="dxa" w:w="1440"/>
          </w:tcPr>
          <w:p>
            <w:r/>
            <w:r>
              <w:rPr>
                <w:sz w:val="18"/>
              </w:rPr>
              <w:t>DEF-003</w:t>
            </w:r>
          </w:p>
        </w:tc>
        <w:tc>
          <w:tcPr>
            <w:tcW w:type="dxa" w:w="1440"/>
          </w:tcPr>
          <w:p>
            <w:r/>
            <w:r>
              <w:rPr>
                <w:sz w:val="18"/>
              </w:rPr>
              <w:t>Low</w:t>
            </w:r>
          </w:p>
        </w:tc>
        <w:tc>
          <w:tcPr>
            <w:tcW w:type="dxa" w:w="1440"/>
          </w:tcPr>
          <w:p>
            <w:r/>
            <w:r>
              <w:rPr>
                <w:sz w:val="18"/>
              </w:rPr>
              <w:t>Low</w:t>
            </w:r>
          </w:p>
        </w:tc>
        <w:tc>
          <w:tcPr>
            <w:tcW w:type="dxa" w:w="1440"/>
          </w:tcPr>
          <w:p>
            <w:r/>
            <w:r>
              <w:rPr>
                <w:rFonts w:ascii="Consolas" w:hAnsi="Consolas"/>
                <w:color w:val="B03060"/>
                <w:sz w:val="18"/>
              </w:rPr>
              <w:t>check_eligibility</w:t>
            </w:r>
            <w:r>
              <w:rPr>
                <w:sz w:val="18"/>
              </w:rPr>
              <w:t xml:space="preserve"> accepts a boolean as </w:t>
            </w:r>
            <w:r>
              <w:rPr>
                <w:rFonts w:ascii="Consolas" w:hAnsi="Consolas"/>
                <w:color w:val="B03060"/>
                <w:sz w:val="18"/>
              </w:rPr>
              <w:t>days_requested</w:t>
            </w:r>
            <w:r>
              <w:rPr>
                <w:sz w:val="18"/>
              </w:rPr>
              <w:t xml:space="preserve"> and treats </w:t>
            </w:r>
            <w:r>
              <w:rPr>
                <w:rFonts w:ascii="Consolas" w:hAnsi="Consolas"/>
                <w:color w:val="B03060"/>
                <w:sz w:val="18"/>
              </w:rPr>
              <w:t>True</w:t>
            </w:r>
            <w:r>
              <w:rPr>
                <w:sz w:val="18"/>
              </w:rPr>
              <w:t xml:space="preserve"> as a one-day request.</w:t>
            </w:r>
          </w:p>
        </w:tc>
        <w:tc>
          <w:tcPr>
            <w:tcW w:type="dxa" w:w="1440"/>
          </w:tcPr>
          <w:p>
            <w:r/>
            <w:r>
              <w:rPr>
                <w:rFonts w:ascii="Consolas" w:hAnsi="Consolas"/>
                <w:color w:val="B03060"/>
                <w:sz w:val="18"/>
              </w:rPr>
              <w:t>DT-19</w:t>
            </w:r>
            <w:r>
              <w:rPr>
                <w:sz w:val="18"/>
              </w:rPr>
              <w:t xml:space="preserve"> — </w:t>
            </w:r>
            <w:r>
              <w:rPr>
                <w:rFonts w:ascii="Consolas" w:hAnsi="Consolas"/>
                <w:color w:val="B03060"/>
                <w:sz w:val="18"/>
              </w:rPr>
              <w:t>...::test_dt_19_boolean_day_count_is_a_wrong_type_not_one_day</w:t>
            </w:r>
          </w:p>
        </w:tc>
        <w:tc>
          <w:tcPr>
            <w:tcW w:type="dxa" w:w="1440"/>
          </w:tcPr>
          <w:p>
            <w:r/>
            <w:r>
              <w:rPr>
                <w:sz w:val="18"/>
              </w:rPr>
              <w:t xml:space="preserve">Not reachable through the web UI, where the day count is always computed as an integer. API callers must pass an </w:t>
            </w:r>
            <w:r>
              <w:rPr>
                <w:rFonts w:ascii="Consolas" w:hAnsi="Consolas"/>
                <w:color w:val="B03060"/>
                <w:sz w:val="18"/>
              </w:rPr>
              <w:t>int</w:t>
            </w:r>
            <w:r>
              <w:rPr>
                <w:sz w:val="18"/>
              </w:rPr>
              <w:t>.</w:t>
            </w:r>
          </w:p>
        </w:tc>
      </w:tr>
    </w:tbl>
    <w:p/>
    <w:p>
      <w:r>
        <w:t xml:space="preserve">Each reproducer asserts the </w:t>
      </w:r>
      <w:r>
        <w:rPr>
          <w:b/>
        </w:rPr>
        <w:t>specified</w:t>
      </w:r>
      <w:r>
        <w:t xml:space="preserve"> behaviour, so it turns from a failure into a passing regression test the moment the defect is fixed — no test edit required.</w:t>
      </w:r>
    </w:p>
    <w:p>
      <w:pPr>
        <w:pStyle w:val="Heading1"/>
      </w:pPr>
      <w:r>
        <w:t>7. Residual Risk</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
              <w:rPr>
                <w:b/>
                <w:sz w:val="18"/>
              </w:rPr>
              <w:t>Risk</w:t>
            </w:r>
          </w:p>
        </w:tc>
        <w:tc>
          <w:tcPr>
            <w:tcW w:type="dxa" w:w="1728"/>
          </w:tcPr>
          <w:p>
            <w:r/>
            <w:r>
              <w:rPr>
                <w:b/>
                <w:sz w:val="18"/>
              </w:rPr>
              <w:t>Exposure</w:t>
            </w:r>
          </w:p>
        </w:tc>
        <w:tc>
          <w:tcPr>
            <w:tcW w:type="dxa" w:w="1728"/>
          </w:tcPr>
          <w:p>
            <w:r/>
            <w:r>
              <w:rPr>
                <w:b/>
                <w:sz w:val="18"/>
              </w:rPr>
              <w:t>Likelihood</w:t>
            </w:r>
          </w:p>
        </w:tc>
        <w:tc>
          <w:tcPr>
            <w:tcW w:type="dxa" w:w="1728"/>
          </w:tcPr>
          <w:p>
            <w:r/>
            <w:r>
              <w:rPr>
                <w:b/>
                <w:sz w:val="18"/>
              </w:rPr>
              <w:t>Impact</w:t>
            </w:r>
          </w:p>
        </w:tc>
        <w:tc>
          <w:tcPr>
            <w:tcW w:type="dxa" w:w="1728"/>
          </w:tcPr>
          <w:p>
            <w:r/>
            <w:r>
              <w:rPr>
                <w:b/>
                <w:sz w:val="18"/>
              </w:rPr>
              <w:t>Mitigation available now</w:t>
            </w:r>
          </w:p>
        </w:tc>
      </w:tr>
      <w:tr>
        <w:tc>
          <w:tcPr>
            <w:tcW w:type="dxa" w:w="1728"/>
          </w:tcPr>
          <w:p>
            <w:r/>
            <w:r>
              <w:rPr>
                <w:b/>
                <w:sz w:val="18"/>
              </w:rPr>
              <w:t>Balance corruption in production</w:t>
            </w:r>
          </w:p>
        </w:tc>
        <w:tc>
          <w:tcPr>
            <w:tcW w:type="dxa" w:w="1728"/>
          </w:tcPr>
          <w:p>
            <w:r/>
            <w:r>
              <w:rPr>
                <w:sz w:val="18"/>
              </w:rPr>
              <w:t xml:space="preserve">DEF-001 and DEF-002 both corrupt </w:t>
            </w:r>
            <w:r>
              <w:rPr>
                <w:rFonts w:ascii="Consolas" w:hAnsi="Consolas"/>
                <w:color w:val="B03060"/>
                <w:sz w:val="18"/>
              </w:rPr>
              <w:t>leave_balance</w:t>
            </w:r>
            <w:r>
              <w:rPr>
                <w:sz w:val="18"/>
              </w:rPr>
              <w:t xml:space="preserve"> and neither is self-correcting; every corrupted row stays wrong until someone edits the database.</w:t>
            </w:r>
          </w:p>
        </w:tc>
        <w:tc>
          <w:tcPr>
            <w:tcW w:type="dxa" w:w="1728"/>
          </w:tcPr>
          <w:p>
            <w:r/>
            <w:r>
              <w:rPr>
                <w:b/>
                <w:sz w:val="18"/>
              </w:rPr>
              <w:t>High</w:t>
            </w:r>
            <w:r>
              <w:rPr>
                <w:sz w:val="18"/>
              </w:rPr>
              <w:t xml:space="preserve"> — DEF-001 triggers on an ordinary, legitimate user action (cancelling your own pending request)</w:t>
            </w:r>
          </w:p>
        </w:tc>
        <w:tc>
          <w:tcPr>
            <w:tcW w:type="dxa" w:w="1728"/>
          </w:tcPr>
          <w:p>
            <w:r/>
            <w:r>
              <w:rPr>
                <w:b/>
                <w:sz w:val="18"/>
              </w:rPr>
              <w:t>High</w:t>
            </w:r>
            <w:r>
              <w:rPr>
                <w:sz w:val="18"/>
              </w:rPr>
              <w:t xml:space="preserve"> — direct financial and HR consequence: paid leave granted that was never earned</w:t>
            </w:r>
          </w:p>
        </w:tc>
        <w:tc>
          <w:tcPr>
            <w:tcW w:type="dxa" w:w="1728"/>
          </w:tcPr>
          <w:p>
            <w:r/>
            <w:r>
              <w:rPr>
                <w:sz w:val="18"/>
              </w:rPr>
              <w:t>None. This is the reason for the no-go below.</w:t>
            </w:r>
          </w:p>
        </w:tc>
      </w:tr>
      <w:tr>
        <w:tc>
          <w:tcPr>
            <w:tcW w:type="dxa" w:w="1728"/>
          </w:tcPr>
          <w:p>
            <w:r/>
            <w:r>
              <w:rPr>
                <w:sz w:val="18"/>
              </w:rPr>
              <w:t>Undetected historical corruption</w:t>
            </w:r>
          </w:p>
        </w:tc>
        <w:tc>
          <w:tcPr>
            <w:tcW w:type="dxa" w:w="1728"/>
          </w:tcPr>
          <w:p>
            <w:r/>
            <w:r>
              <w:rPr>
                <w:sz w:val="18"/>
              </w:rPr>
              <w:t xml:space="preserve">If either defect has run against any real data, </w:t>
            </w:r>
            <w:r>
              <w:rPr>
                <w:rFonts w:ascii="Consolas" w:hAnsi="Consolas"/>
                <w:color w:val="B03060"/>
                <w:sz w:val="18"/>
              </w:rPr>
              <w:t>used_days</w:t>
            </w:r>
            <w:r>
              <w:rPr>
                <w:sz w:val="18"/>
              </w:rPr>
              <w:t xml:space="preserve"> may already be wrong and nothing reports it.</w:t>
            </w:r>
          </w:p>
        </w:tc>
        <w:tc>
          <w:tcPr>
            <w:tcW w:type="dxa" w:w="1728"/>
          </w:tcPr>
          <w:p>
            <w:r/>
            <w:r>
              <w:rPr>
                <w:sz w:val="18"/>
              </w:rPr>
              <w:t>Medium</w:t>
            </w:r>
          </w:p>
        </w:tc>
        <w:tc>
          <w:tcPr>
            <w:tcW w:type="dxa" w:w="1728"/>
          </w:tcPr>
          <w:p>
            <w:r/>
            <w:r>
              <w:rPr>
                <w:sz w:val="18"/>
              </w:rPr>
              <w:t>High</w:t>
            </w:r>
          </w:p>
        </w:tc>
        <w:tc>
          <w:tcPr>
            <w:tcW w:type="dxa" w:w="1728"/>
          </w:tcPr>
          <w:p>
            <w:r/>
            <w:r>
              <w:rPr>
                <w:sz w:val="18"/>
              </w:rPr>
              <w:t xml:space="preserve">Before any release, audit for </w:t>
            </w:r>
            <w:r>
              <w:rPr>
                <w:rFonts w:ascii="Consolas" w:hAnsi="Consolas"/>
                <w:color w:val="B03060"/>
                <w:sz w:val="18"/>
              </w:rPr>
              <w:t>used_days &lt; 0</w:t>
            </w:r>
            <w:r>
              <w:rPr>
                <w:sz w:val="18"/>
              </w:rPr>
              <w:t xml:space="preserve"> or </w:t>
            </w:r>
            <w:r>
              <w:rPr>
                <w:rFonts w:ascii="Consolas" w:hAnsi="Consolas"/>
                <w:color w:val="B03060"/>
                <w:sz w:val="18"/>
              </w:rPr>
              <w:t>used_days &gt; total_days</w:t>
            </w:r>
            <w:r>
              <w:rPr>
                <w:sz w:val="18"/>
              </w:rPr>
              <w:t>.</w:t>
            </w:r>
          </w:p>
        </w:tc>
      </w:tr>
      <w:tr>
        <w:tc>
          <w:tcPr>
            <w:tcW w:type="dxa" w:w="1728"/>
          </w:tcPr>
          <w:p>
            <w:r/>
            <w:r>
              <w:rPr>
                <w:sz w:val="18"/>
              </w:rPr>
              <w:t>Concurrency on the balance</w:t>
            </w:r>
          </w:p>
        </w:tc>
        <w:tc>
          <w:tcPr>
            <w:tcW w:type="dxa" w:w="1728"/>
          </w:tcPr>
          <w:p>
            <w:r/>
            <w:r>
              <w:rPr>
                <w:rFonts w:ascii="Consolas" w:hAnsi="Consolas"/>
                <w:color w:val="B03060"/>
                <w:sz w:val="18"/>
              </w:rPr>
              <w:t>LeaveBalance.deduct</w:t>
            </w:r>
            <w:r>
              <w:rPr>
                <w:sz w:val="18"/>
              </w:rPr>
              <w:t xml:space="preserve"> and </w:t>
            </w:r>
            <w:r>
              <w:rPr>
                <w:rFonts w:ascii="Consolas" w:hAnsi="Consolas"/>
                <w:color w:val="B03060"/>
                <w:sz w:val="18"/>
              </w:rPr>
              <w:t>.restore</w:t>
            </w:r>
            <w:r>
              <w:rPr>
                <w:sz w:val="18"/>
              </w:rPr>
              <w:t xml:space="preserve"> are read-modify-write with no locking. Two simultaneous approvals could lose an update. Untested and out of scope.</w:t>
            </w:r>
          </w:p>
        </w:tc>
        <w:tc>
          <w:tcPr>
            <w:tcW w:type="dxa" w:w="1728"/>
          </w:tcPr>
          <w:p>
            <w:r/>
            <w:r>
              <w:rPr>
                <w:sz w:val="18"/>
              </w:rPr>
              <w:t>Low at coursework scale</w:t>
            </w:r>
          </w:p>
        </w:tc>
        <w:tc>
          <w:tcPr>
            <w:tcW w:type="dxa" w:w="1728"/>
          </w:tcPr>
          <w:p>
            <w:r/>
            <w:r>
              <w:rPr>
                <w:sz w:val="18"/>
              </w:rPr>
              <w:t>High</w:t>
            </w:r>
          </w:p>
        </w:tc>
        <w:tc>
          <w:tcPr>
            <w:tcW w:type="dxa" w:w="1728"/>
          </w:tcPr>
          <w:p>
            <w:r/>
            <w:r>
              <w:rPr>
                <w:sz w:val="18"/>
              </w:rPr>
              <w:t>Not addressed. Would need a transaction or a conditional update.</w:t>
            </w:r>
          </w:p>
        </w:tc>
      </w:tr>
      <w:tr>
        <w:tc>
          <w:tcPr>
            <w:tcW w:type="dxa" w:w="1728"/>
          </w:tcPr>
          <w:p>
            <w:r/>
            <w:r>
              <w:rPr>
                <w:sz w:val="18"/>
              </w:rPr>
              <w:t>No CSRF protection</w:t>
            </w:r>
          </w:p>
        </w:tc>
        <w:tc>
          <w:tcPr>
            <w:tcW w:type="dxa" w:w="1728"/>
          </w:tcPr>
          <w:p>
            <w:r/>
            <w:r>
              <w:rPr>
                <w:sz w:val="18"/>
              </w:rPr>
              <w:t xml:space="preserve">Every state-changing route is a bare </w:t>
            </w:r>
            <w:r>
              <w:rPr>
                <w:rFonts w:ascii="Consolas" w:hAnsi="Consolas"/>
                <w:color w:val="B03060"/>
                <w:sz w:val="18"/>
              </w:rPr>
              <w:t>POST</w:t>
            </w:r>
            <w:r>
              <w:rPr>
                <w:sz w:val="18"/>
              </w:rPr>
              <w:t xml:space="preserve"> with no token, so cancel, approve and reject are forgeable from another site. Out of scope by the plan.</w:t>
            </w:r>
          </w:p>
        </w:tc>
        <w:tc>
          <w:tcPr>
            <w:tcW w:type="dxa" w:w="1728"/>
          </w:tcPr>
          <w:p>
            <w:r/>
            <w:r>
              <w:rPr>
                <w:sz w:val="18"/>
              </w:rPr>
              <w:t>Medium if deployed publicly</w:t>
            </w:r>
          </w:p>
        </w:tc>
        <w:tc>
          <w:tcPr>
            <w:tcW w:type="dxa" w:w="1728"/>
          </w:tcPr>
          <w:p>
            <w:r/>
            <w:r>
              <w:rPr>
                <w:sz w:val="18"/>
              </w:rPr>
              <w:t>High</w:t>
            </w:r>
          </w:p>
        </w:tc>
        <w:tc>
          <w:tcPr>
            <w:tcW w:type="dxa" w:w="1728"/>
          </w:tcPr>
          <w:p>
            <w:r/>
            <w:r>
              <w:rPr>
                <w:sz w:val="18"/>
              </w:rPr>
              <w:t>Not addressed. Flask-WTF would close it.</w:t>
            </w:r>
          </w:p>
        </w:tc>
      </w:tr>
      <w:tr>
        <w:tc>
          <w:tcPr>
            <w:tcW w:type="dxa" w:w="1728"/>
          </w:tcPr>
          <w:p>
            <w:r/>
            <w:r>
              <w:rPr>
                <w:rFonts w:ascii="Consolas" w:hAnsi="Consolas"/>
                <w:color w:val="B03060"/>
                <w:sz w:val="18"/>
              </w:rPr>
              <w:t>Taken</w:t>
            </w:r>
            <w:r>
              <w:rPr>
                <w:sz w:val="18"/>
              </w:rPr>
              <w:t xml:space="preserve"> never reached</w:t>
            </w:r>
          </w:p>
        </w:tc>
        <w:tc>
          <w:tcPr>
            <w:tcW w:type="dxa" w:w="1728"/>
          </w:tcPr>
          <w:p>
            <w:r/>
            <w:r>
              <w:rPr>
                <w:sz w:val="18"/>
              </w:rPr>
              <w:t>DEF-005 means reporting cannot distinguish consumed leave from approved future leave.</w:t>
            </w:r>
          </w:p>
        </w:tc>
        <w:tc>
          <w:tcPr>
            <w:tcW w:type="dxa" w:w="1728"/>
          </w:tcPr>
          <w:p>
            <w:r/>
            <w:r>
              <w:rPr>
                <w:sz w:val="18"/>
              </w:rPr>
              <w:t>Certain — it is unconditional</w:t>
            </w:r>
          </w:p>
        </w:tc>
        <w:tc>
          <w:tcPr>
            <w:tcW w:type="dxa" w:w="1728"/>
          </w:tcPr>
          <w:p>
            <w:r/>
            <w:r>
              <w:rPr>
                <w:sz w:val="18"/>
              </w:rPr>
              <w:t>Low to medium</w:t>
            </w:r>
          </w:p>
        </w:tc>
        <w:tc>
          <w:tcPr>
            <w:tcW w:type="dxa" w:w="1728"/>
          </w:tcPr>
          <w:p>
            <w:r/>
            <w:r>
              <w:rPr>
                <w:sz w:val="18"/>
              </w:rPr>
              <w:t>Compare end dates manually.</w:t>
            </w:r>
          </w:p>
        </w:tc>
      </w:tr>
      <w:tr>
        <w:tc>
          <w:tcPr>
            <w:tcW w:type="dxa" w:w="1728"/>
          </w:tcPr>
          <w:p>
            <w:r/>
            <w:r>
              <w:rPr>
                <w:sz w:val="18"/>
              </w:rPr>
              <w:t>Untested system and UAT levels</w:t>
            </w:r>
          </w:p>
        </w:tc>
        <w:tc>
          <w:tcPr>
            <w:tcW w:type="dxa" w:w="1728"/>
          </w:tcPr>
          <w:p>
            <w:r/>
            <w:r>
              <w:rPr>
                <w:sz w:val="18"/>
              </w:rPr>
              <w:t>Selenium tests and UAT were not executed for this report. Browser-level regressions would not be caught.</w:t>
            </w:r>
          </w:p>
        </w:tc>
        <w:tc>
          <w:tcPr>
            <w:tcW w:type="dxa" w:w="1728"/>
          </w:tcPr>
          <w:p>
            <w:r/>
            <w:r>
              <w:rPr>
                <w:sz w:val="18"/>
              </w:rPr>
              <w:t>Medium</w:t>
            </w:r>
          </w:p>
        </w:tc>
        <w:tc>
          <w:tcPr>
            <w:tcW w:type="dxa" w:w="1728"/>
          </w:tcPr>
          <w:p>
            <w:r/>
            <w:r>
              <w:rPr>
                <w:sz w:val="18"/>
              </w:rPr>
              <w:t>Medium</w:t>
            </w:r>
          </w:p>
        </w:tc>
        <w:tc>
          <w:tcPr>
            <w:tcW w:type="dxa" w:w="1728"/>
          </w:tcPr>
          <w:p>
            <w:r/>
            <w:r>
              <w:rPr>
                <w:sz w:val="18"/>
              </w:rPr>
              <w:t>Run Person 3's Selenium suite before release.</w:t>
            </w:r>
          </w:p>
        </w:tc>
      </w:tr>
      <w:tr>
        <w:tc>
          <w:tcPr>
            <w:tcW w:type="dxa" w:w="1728"/>
          </w:tcPr>
          <w:p>
            <w:r/>
            <w:r>
              <w:rPr>
                <w:sz w:val="18"/>
              </w:rPr>
              <w:t>Month-end eligibility refusals</w:t>
            </w:r>
          </w:p>
        </w:tc>
        <w:tc>
          <w:tcPr>
            <w:tcW w:type="dxa" w:w="1728"/>
          </w:tcPr>
          <w:p>
            <w:r/>
            <w:r>
              <w:rPr>
                <w:sz w:val="18"/>
              </w:rPr>
              <w:t>DEF-004 wrongly refuses a small population (hire dates on the 29th–31st) on specific days.</w:t>
            </w:r>
          </w:p>
        </w:tc>
        <w:tc>
          <w:tcPr>
            <w:tcW w:type="dxa" w:w="1728"/>
          </w:tcPr>
          <w:p>
            <w:r/>
            <w:r>
              <w:rPr>
                <w:sz w:val="18"/>
              </w:rPr>
              <w:t>Low</w:t>
            </w:r>
          </w:p>
        </w:tc>
        <w:tc>
          <w:tcPr>
            <w:tcW w:type="dxa" w:w="1728"/>
          </w:tcPr>
          <w:p>
            <w:r/>
            <w:r>
              <w:rPr>
                <w:sz w:val="18"/>
              </w:rPr>
              <w:t>Low</w:t>
            </w:r>
          </w:p>
        </w:tc>
        <w:tc>
          <w:tcPr>
            <w:tcW w:type="dxa" w:w="1728"/>
          </w:tcPr>
          <w:p>
            <w:r/>
            <w:r>
              <w:rPr>
                <w:sz w:val="18"/>
              </w:rPr>
              <w:t>The employee re-submits the next day.</w:t>
            </w:r>
          </w:p>
        </w:tc>
      </w:tr>
    </w:tbl>
    <w:p/>
    <w:p>
      <w:pPr>
        <w:pStyle w:val="Heading1"/>
      </w:pPr>
      <w:r>
        <w:t>8. Release Recommendation</w:t>
      </w:r>
    </w:p>
    <w:p>
      <w:pPr>
        <w:pStyle w:val="Heading2"/>
      </w:pPr>
      <w:r>
        <w:t>🔴 NO-GO for release.</w:t>
      </w:r>
    </w:p>
    <w:p>
      <w:r>
        <w:t xml:space="preserve">Exit criterion X5 — zero open Critical or High severity defects — is not met, and the two defects that breach it, DEF-001 and DEF-002, both destroy the integrity of the leave balance. Leave balance </w:t>
      </w:r>
      <w:r>
        <w:rPr>
          <w:i/>
        </w:rPr>
        <w:t>is</w:t>
      </w:r>
      <w:r>
        <w:t xml:space="preserve"> the product: an employee who can cancel a pending request to mint five days of leave, and an administrator who can approve double the annual entitlement without being stopped, together mean the system cannot be trusted with the one number it exists to hold. Neither defect is exotic — DEF-001 fires on an entirely ordinary user action, and it is not self-correcting.</w:t>
      </w:r>
    </w:p>
    <w:p>
      <w:r>
        <w:t>Every other criterion is met, and comfortably: coverage is well above target, the rule engine is exhaustively covered, and all 25 state pairs behave exactly as specified. The product is close. It is not ready.</w:t>
      </w:r>
    </w:p>
    <w:p>
      <w:r>
        <w:rPr>
          <w:b/>
        </w:rPr>
        <w:t>Conditions for a go decision</w:t>
      </w:r>
    </w:p>
    <w:p>
      <w:pPr>
        <w:pStyle w:val="ListNumber"/>
      </w:pPr>
      <w:r>
        <w:t xml:space="preserve">Fix DEF-001 — restore the balance only when the previous status was </w:t>
      </w:r>
      <w:r>
        <w:rPr>
          <w:rFonts w:ascii="Consolas" w:hAnsi="Consolas"/>
          <w:color w:val="B03060"/>
        </w:rPr>
        <w:t>Approved</w:t>
      </w:r>
      <w:r>
        <w:t>; test the</w:t>
      </w:r>
    </w:p>
    <w:p>
      <w:r>
        <w:t xml:space="preserve">status </w:t>
      </w:r>
      <w:r>
        <w:rPr>
          <w:i/>
        </w:rPr>
        <w:t>before</w:t>
      </w:r>
      <w:r>
        <w:t xml:space="preserve"> the transition, not after.</w:t>
      </w:r>
    </w:p>
    <w:p>
      <w:pPr>
        <w:pStyle w:val="ListNumber"/>
      </w:pPr>
      <w:r>
        <w:t xml:space="preserve">Fix DEF-002 — re-check the remaining balance inside </w:t>
      </w:r>
      <w:r>
        <w:rPr>
          <w:rFonts w:ascii="Consolas" w:hAnsi="Consolas"/>
          <w:color w:val="B03060"/>
        </w:rPr>
        <w:t>approve_request</w:t>
      </w:r>
      <w:r>
        <w:t xml:space="preserve"> before deducting,</w:t>
      </w:r>
    </w:p>
    <w:p>
      <w:r>
        <w:t>and refuse the approval if it no longer covers the request.</w:t>
      </w:r>
    </w:p>
    <w:p>
      <w:pPr>
        <w:pStyle w:val="ListNumber"/>
      </w:pPr>
      <w:r>
        <w:t xml:space="preserve">Re-run the suite. </w:t>
      </w:r>
      <w:r>
        <w:rPr>
          <w:rFonts w:ascii="Consolas" w:hAnsi="Consolas"/>
          <w:color w:val="B03060"/>
        </w:rPr>
        <w:t>ST-R12</w:t>
      </w:r>
      <w:r>
        <w:t xml:space="preserve"> and </w:t>
      </w:r>
      <w:r>
        <w:rPr>
          <w:rFonts w:ascii="Consolas" w:hAnsi="Consolas"/>
          <w:color w:val="B03060"/>
        </w:rPr>
        <w:t>ST-R13</w:t>
      </w:r>
      <w:r>
        <w:t xml:space="preserve"> must go green with no change to the test code.</w:t>
      </w:r>
    </w:p>
    <w:p>
      <w:pPr>
        <w:pStyle w:val="ListNumber"/>
      </w:pPr>
      <w:r>
        <w:t xml:space="preserve">Audit existing data for </w:t>
      </w:r>
      <w:r>
        <w:rPr>
          <w:rFonts w:ascii="Consolas" w:hAnsi="Consolas"/>
          <w:color w:val="B03060"/>
        </w:rPr>
        <w:t>used_days &lt; 0</w:t>
      </w:r>
      <w:r>
        <w:t xml:space="preserve"> or </w:t>
      </w:r>
      <w:r>
        <w:rPr>
          <w:rFonts w:ascii="Consolas" w:hAnsi="Consolas"/>
          <w:color w:val="B03060"/>
        </w:rPr>
        <w:t>used_days &gt; total_days</w:t>
      </w:r>
      <w:r>
        <w:t xml:space="preserve"> and correct any rows.</w:t>
      </w:r>
    </w:p>
    <w:p>
      <w:pPr>
        <w:pStyle w:val="ListNumber"/>
      </w:pPr>
      <w:r>
        <w:t>Run the Selenium system suite and complete UAT (Test Plan entry criteria E6, E7).</w:t>
      </w:r>
    </w:p>
    <w:p>
      <w:pPr>
        <w:pStyle w:val="ListNumber"/>
      </w:pPr>
      <w:r>
        <w:t>DEF-003, DEF-004 and DEF-005 may be deferred to a follow-up release under the accepted</w:t>
      </w:r>
    </w:p>
    <w:p>
      <w:r>
        <w:t>residual risk in §7, provided the workarounds in §6 are communicated to users.</w:t>
      </w:r>
    </w:p>
    <w:p>
      <w:r>
        <w:rPr>
          <w:b/>
        </w:rPr>
        <w:t>Interim position.</w:t>
      </w:r>
      <w:r>
        <w:t xml:space="preserve"> For coursework demonstration on a throwaway database, the build is fine to show and the defect reproducers are part of what is worth showing. That is a demo decision, not a release decision, and it does not change the no-go above.</w:t>
      </w:r>
    </w:p>
    <w:p>
      <w:pPr>
        <w:pStyle w:val="Heading1"/>
      </w:pPr>
      <w:r>
        <w:t>9. CI/CD Regression Demonstration</w:t>
      </w:r>
    </w:p>
    <w:p>
      <w:r>
        <w:t xml:space="preserve">As part of the continuous integration setup (GitHub Actions), a regression demonstration was performed to prove that the pipeline reliably catches newly introduced bugs and guards the </w:t>
      </w:r>
      <w:r>
        <w:rPr>
          <w:rFonts w:ascii="Consolas" w:hAnsi="Consolas"/>
          <w:color w:val="B03060"/>
        </w:rPr>
        <w:t>main</w:t>
      </w:r>
      <w:r>
        <w:t xml:space="preserve"> branch.</w:t>
      </w:r>
    </w:p>
    <w:p>
      <w:r>
        <w:rPr>
          <w:b/>
        </w:rPr>
        <w:t>1. Introducing the Bug</w:t>
      </w:r>
      <w:r>
        <w:t xml:space="preserve"> A deliberate boundary bug was introduced in </w:t>
      </w:r>
      <w:r>
        <w:rPr>
          <w:rFonts w:ascii="Consolas" w:hAnsi="Consolas"/>
          <w:color w:val="B03060"/>
        </w:rPr>
        <w:t>app/business_logic.py</w:t>
      </w:r>
      <w:r>
        <w:t xml:space="preserve"> inside the </w:t>
      </w:r>
      <w:r>
        <w:rPr>
          <w:rFonts w:ascii="Consolas" w:hAnsi="Consolas"/>
          <w:color w:val="B03060"/>
        </w:rPr>
        <w:t>check_eligibility</w:t>
      </w:r>
      <w:r>
        <w:t xml:space="preserve"> function by changing </w:t>
      </w:r>
      <w:r>
        <w:rPr>
          <w:rFonts w:ascii="Consolas" w:hAnsi="Consolas"/>
          <w:color w:val="B03060"/>
        </w:rPr>
        <w:t>if days_requested &lt; 1:</w:t>
      </w:r>
      <w:r>
        <w:t xml:space="preserve"> to </w:t>
      </w:r>
      <w:r>
        <w:rPr>
          <w:rFonts w:ascii="Consolas" w:hAnsi="Consolas"/>
          <w:color w:val="B03060"/>
        </w:rPr>
        <w:t>if days_requested &lt; 0:</w:t>
      </w:r>
      <w:r>
        <w:t>. This off-by-one error incorrectly allowed 0-day leave requests to bypass the minimum validation rule.</w:t>
      </w:r>
    </w:p>
    <w:p>
      <w:r>
        <w:rPr>
          <w:b/>
        </w:rPr>
        <w:t>2. CI Pipeline Failure</w:t>
      </w:r>
      <w:r>
        <w:t xml:space="preserve"> Upon pushing this change, the GitHub Actions pipeline immediately triggered and failed. The unit tests guarding the lower boundary (</w:t>
      </w:r>
      <w:r>
        <w:rPr>
          <w:rFonts w:ascii="Consolas" w:hAnsi="Consolas"/>
          <w:color w:val="B03060"/>
        </w:rPr>
        <w:t>TestCheckEligibility::test_days_less_than_one</w:t>
      </w:r>
      <w:r>
        <w:t xml:space="preserve"> and </w:t>
      </w:r>
      <w:r>
        <w:rPr>
          <w:rFonts w:ascii="Consolas" w:hAnsi="Consolas"/>
          <w:color w:val="B03060"/>
        </w:rPr>
        <w:t>TestRule2DaysBelowMinimum::test_dt_03_day_count_below_minimum_is_refused[0]</w:t>
      </w:r>
      <w:r>
        <w:t>) caught the regression, and the pipeline turned red, preventing the broken code from merging.</w:t>
      </w:r>
    </w:p>
    <w:p>
      <w:r>
        <w:rPr>
          <w:i/>
        </w:rPr>
        <w:t>[Insert screenshot of the FAILED GitHub Actions run here]</w:t>
      </w:r>
    </w:p>
    <w:p>
      <w:r>
        <w:rPr>
          <w:b/>
        </w:rPr>
        <w:t>3. Fixing the Bug</w:t>
      </w:r>
      <w:r>
        <w:t xml:space="preserve"> The commit was reverted, restoring the correct </w:t>
      </w:r>
      <w:r>
        <w:rPr>
          <w:rFonts w:ascii="Consolas" w:hAnsi="Consolas"/>
          <w:color w:val="B03060"/>
        </w:rPr>
        <w:t>if days_requested &lt; 1:</w:t>
      </w:r>
      <w:r>
        <w:t xml:space="preserve"> check.</w:t>
      </w:r>
    </w:p>
    <w:p>
      <w:r>
        <w:rPr>
          <w:b/>
        </w:rPr>
        <w:t>4. CI Pipeline Recovery</w:t>
      </w:r>
      <w:r>
        <w:t xml:space="preserve"> Upon pushing the fix, the GitHub Actions pipeline triggered again. The boundary tests passed successfully, branch coverage requirements were met, the Selenium system tests executed headlessly against a spun-up local server, and the pipeline turned green.</w:t>
      </w:r>
    </w:p>
    <w:p>
      <w:r>
        <w:rPr>
          <w:i/>
        </w:rPr>
        <w:t>[Insert screenshot of the PASSED GitHub Actions run here]</w:t>
      </w:r>
    </w:p>
    <w:p>
      <w:pPr>
        <w:pStyle w:val="Heading1"/>
      </w:pPr>
      <w:r>
        <w:t>10. Conclusion</w:t>
      </w:r>
    </w:p>
    <w:p>
      <w:r>
        <w:t>Four black-box design techniques applied to a codebase that already had 52 passing unit tests and 95% coverage found five real defects, two of them critical. The techniques earned their place: the decision table found what testing conditions one at a time could not, and state transition testing found what testing single operations could not. Coverage told us which lines had run; it could not tell us which sequences had been tried, and that gap is where every serious defect in this project turned out to live.</w:t>
      </w:r>
    </w:p>
    <w:p>
      <w:pPr>
        <w:pStyle w:val="Heading2"/>
      </w:pPr>
      <w:r>
        <w:t>Sign-off</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
              <w:rPr>
                <w:b/>
                <w:sz w:val="18"/>
              </w:rPr>
              <w:t>Role</w:t>
            </w:r>
          </w:p>
        </w:tc>
        <w:tc>
          <w:tcPr>
            <w:tcW w:type="dxa" w:w="2160"/>
          </w:tcPr>
          <w:p>
            <w:r/>
            <w:r>
              <w:rPr>
                <w:b/>
                <w:sz w:val="18"/>
              </w:rPr>
              <w:t>Name</w:t>
            </w:r>
          </w:p>
        </w:tc>
        <w:tc>
          <w:tcPr>
            <w:tcW w:type="dxa" w:w="2160"/>
          </w:tcPr>
          <w:p>
            <w:r/>
            <w:r>
              <w:rPr>
                <w:b/>
                <w:sz w:val="18"/>
              </w:rPr>
              <w:t>Signature</w:t>
            </w:r>
          </w:p>
        </w:tc>
        <w:tc>
          <w:tcPr>
            <w:tcW w:type="dxa" w:w="2160"/>
          </w:tcPr>
          <w:p>
            <w:r/>
            <w:r>
              <w:rPr>
                <w:b/>
                <w:sz w:val="18"/>
              </w:rPr>
              <w:t>Date</w:t>
            </w:r>
          </w:p>
        </w:tc>
      </w:tr>
      <w:tr>
        <w:tc>
          <w:tcPr>
            <w:tcW w:type="dxa" w:w="2160"/>
          </w:tcPr>
          <w:p>
            <w:r/>
            <w:r>
              <w:rPr>
                <w:sz w:val="18"/>
              </w:rPr>
              <w:t>Test Architect</w:t>
            </w:r>
          </w:p>
        </w:tc>
        <w:tc>
          <w:tcPr>
            <w:tcW w:type="dxa" w:w="2160"/>
          </w:tcPr>
          <w:p>
            <w:r/>
            <w:r>
              <w:rPr>
                <w:sz w:val="18"/>
              </w:rPr>
              <w:t>Henok Zemedkun</w:t>
            </w:r>
          </w:p>
        </w:tc>
        <w:tc>
          <w:tcPr>
            <w:tcW w:type="dxa" w:w="2160"/>
          </w:tcPr>
          <w:p>
            <w:r/>
          </w:p>
        </w:tc>
        <w:tc>
          <w:tcPr>
            <w:tcW w:type="dxa" w:w="2160"/>
          </w:tcPr>
          <w:p>
            <w:r/>
          </w:p>
        </w:tc>
      </w:tr>
      <w:tr>
        <w:tc>
          <w:tcPr>
            <w:tcW w:type="dxa" w:w="2160"/>
          </w:tcPr>
          <w:p>
            <w:r/>
            <w:r>
              <w:rPr>
                <w:sz w:val="18"/>
              </w:rPr>
              <w:t>Application Developer</w:t>
            </w:r>
          </w:p>
        </w:tc>
        <w:tc>
          <w:tcPr>
            <w:tcW w:type="dxa" w:w="2160"/>
          </w:tcPr>
          <w:p>
            <w:r/>
            <w:r>
              <w:rPr>
                <w:sz w:val="18"/>
              </w:rPr>
              <w:t>Fitsum Yoseph</w:t>
            </w:r>
          </w:p>
        </w:tc>
        <w:tc>
          <w:tcPr>
            <w:tcW w:type="dxa" w:w="2160"/>
          </w:tcPr>
          <w:p>
            <w:r/>
          </w:p>
        </w:tc>
        <w:tc>
          <w:tcPr>
            <w:tcW w:type="dxa" w:w="2160"/>
          </w:tcPr>
          <w:p>
            <w:r/>
          </w:p>
        </w:tc>
      </w:tr>
      <w:tr>
        <w:tc>
          <w:tcPr>
            <w:tcW w:type="dxa" w:w="2160"/>
          </w:tcPr>
          <w:p>
            <w:r/>
            <w:r>
              <w:rPr>
                <w:sz w:val="18"/>
              </w:rPr>
              <w:t>Automation / CI Engineer</w:t>
            </w:r>
          </w:p>
        </w:tc>
        <w:tc>
          <w:tcPr>
            <w:tcW w:type="dxa" w:w="2160"/>
          </w:tcPr>
          <w:p>
            <w:r/>
            <w:r>
              <w:rPr>
                <w:sz w:val="18"/>
              </w:rPr>
              <w:t>Eyob Kassaye</w:t>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